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000000" w:themeColor="text1"/>
          <w:kern w:val="0"/>
          <w:sz w:val="36"/>
          <w:szCs w:val="36"/>
          <w14:textFill>
            <w14:solidFill>
              <w14:schemeClr w14:val="tx1"/>
            </w14:solidFill>
          </w14:textFill>
        </w:rPr>
      </w:pPr>
    </w:p>
    <w:p>
      <w:pPr>
        <w:widowControl/>
        <w:jc w:val="center"/>
        <w:rPr>
          <w:rFonts w:ascii="宋体" w:hAnsi="宋体" w:cs="宋体"/>
          <w:color w:val="000000" w:themeColor="text1"/>
          <w:kern w:val="0"/>
          <w:sz w:val="36"/>
          <w:szCs w:val="36"/>
          <w14:textFill>
            <w14:solidFill>
              <w14:schemeClr w14:val="tx1"/>
            </w14:solidFill>
          </w14:textFill>
        </w:rPr>
      </w:pPr>
    </w:p>
    <w:p>
      <w:pPr>
        <w:widowControl/>
        <w:jc w:val="center"/>
        <w:rPr>
          <w:rFonts w:ascii="方正小标宋简体" w:hAnsi="方正小标宋简体" w:eastAsia="方正小标宋简体" w:cs="方正小标宋简体"/>
          <w:color w:val="000000" w:themeColor="text1"/>
          <w:kern w:val="0"/>
          <w:sz w:val="52"/>
          <w:szCs w:val="52"/>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52"/>
          <w:szCs w:val="52"/>
          <w14:textFill>
            <w14:solidFill>
              <w14:schemeClr w14:val="tx1"/>
            </w14:solidFill>
          </w14:textFill>
        </w:rPr>
        <w:t xml:space="preserve">   </w:t>
      </w:r>
    </w:p>
    <w:p>
      <w:pPr>
        <w:widowControl/>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drawing>
          <wp:anchor distT="0" distB="0" distL="114300" distR="114300" simplePos="0" relativeHeight="251659264" behindDoc="0" locked="0" layoutInCell="1" allowOverlap="1">
            <wp:simplePos x="0" y="0"/>
            <wp:positionH relativeFrom="column">
              <wp:posOffset>383540</wp:posOffset>
            </wp:positionH>
            <wp:positionV relativeFrom="paragraph">
              <wp:posOffset>19685</wp:posOffset>
            </wp:positionV>
            <wp:extent cx="539115" cy="515620"/>
            <wp:effectExtent l="0" t="0" r="13335" b="1778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rcRect l="18399" t="17551" r="22235" b="15521"/>
                    <a:stretch>
                      <a:fillRect/>
                    </a:stretch>
                  </pic:blipFill>
                  <pic:spPr>
                    <a:xfrm>
                      <a:off x="0" y="0"/>
                      <a:ext cx="539115" cy="515620"/>
                    </a:xfrm>
                    <a:prstGeom prst="ellipse">
                      <a:avLst/>
                    </a:prstGeom>
                    <a:noFill/>
                    <a:ln>
                      <a:noFill/>
                    </a:ln>
                  </pic:spPr>
                </pic:pic>
              </a:graphicData>
            </a:graphic>
          </wp:anchor>
        </w:drawing>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鄂尔多斯生态环境职业学院</w:t>
      </w:r>
    </w:p>
    <w:p>
      <w:pPr>
        <w:widowControl/>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三年制高职人才培养方案</w:t>
      </w:r>
    </w:p>
    <w:p>
      <w:pPr>
        <w:widowControl/>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p>
    <w:p>
      <w:pPr>
        <w:widowControl/>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p>
    <w:tbl>
      <w:tblPr>
        <w:tblStyle w:val="28"/>
        <w:tblW w:w="0" w:type="auto"/>
        <w:tblInd w:w="7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8"/>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Pr>
          <w:p>
            <w:pPr>
              <w:widowControl/>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专业</w:t>
            </w:r>
          </w:p>
        </w:tc>
        <w:tc>
          <w:tcPr>
            <w:tcW w:w="5457" w:type="dxa"/>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汽车检测与维修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Pr>
          <w:p>
            <w:pPr>
              <w:widowControl/>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制订人</w:t>
            </w:r>
          </w:p>
        </w:tc>
        <w:tc>
          <w:tcPr>
            <w:tcW w:w="5457" w:type="dxa"/>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王新刚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Pr>
          <w:p>
            <w:pPr>
              <w:widowControl/>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审核人</w:t>
            </w:r>
          </w:p>
        </w:tc>
        <w:tc>
          <w:tcPr>
            <w:tcW w:w="5457" w:type="dxa"/>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tcPr>
          <w:p>
            <w:pPr>
              <w:widowControl/>
              <w:jc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制定日期</w:t>
            </w:r>
          </w:p>
        </w:tc>
        <w:tc>
          <w:tcPr>
            <w:tcW w:w="5457" w:type="dxa"/>
          </w:tcPr>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w:t>
            </w:r>
            <w:r>
              <w:rPr>
                <w:rFonts w:ascii="仿宋_GB2312" w:hAnsi="仿宋_GB2312" w:eastAsia="仿宋_GB2312" w:cs="仿宋_GB2312"/>
                <w:color w:val="000000" w:themeColor="text1"/>
                <w:kern w:val="0"/>
                <w:sz w:val="32"/>
                <w:szCs w:val="32"/>
                <w14:textFill>
                  <w14:solidFill>
                    <w14:schemeClr w14:val="tx1"/>
                  </w14:solidFill>
                </w14:textFill>
              </w:rPr>
              <w:t>022</w:t>
            </w:r>
            <w:r>
              <w:rPr>
                <w:rFonts w:hint="eastAsia" w:ascii="仿宋_GB2312" w:hAnsi="仿宋_GB2312" w:eastAsia="仿宋_GB2312" w:cs="仿宋_GB2312"/>
                <w:color w:val="000000" w:themeColor="text1"/>
                <w:kern w:val="0"/>
                <w:sz w:val="32"/>
                <w:szCs w:val="32"/>
                <w14:textFill>
                  <w14:solidFill>
                    <w14:schemeClr w14:val="tx1"/>
                  </w14:solidFill>
                </w14:textFill>
              </w:rPr>
              <w:t>年1</w:t>
            </w:r>
            <w:r>
              <w:rPr>
                <w:rFonts w:ascii="仿宋_GB2312" w:hAnsi="仿宋_GB2312" w:eastAsia="仿宋_GB2312" w:cs="仿宋_GB2312"/>
                <w:color w:val="000000" w:themeColor="text1"/>
                <w:kern w:val="0"/>
                <w:sz w:val="32"/>
                <w:szCs w:val="32"/>
                <w14:textFill>
                  <w14:solidFill>
                    <w14:schemeClr w14:val="tx1"/>
                  </w14:solidFill>
                </w14:textFill>
              </w:rPr>
              <w:t>1</w:t>
            </w:r>
            <w:r>
              <w:rPr>
                <w:rFonts w:hint="eastAsia" w:ascii="仿宋_GB2312" w:hAnsi="仿宋_GB2312" w:eastAsia="仿宋_GB2312" w:cs="仿宋_GB2312"/>
                <w:color w:val="000000" w:themeColor="text1"/>
                <w:kern w:val="0"/>
                <w:sz w:val="32"/>
                <w:szCs w:val="32"/>
                <w14:textFill>
                  <w14:solidFill>
                    <w14:schemeClr w14:val="tx1"/>
                  </w14:solidFill>
                </w14:textFill>
              </w:rPr>
              <w:t>月1日</w:t>
            </w:r>
          </w:p>
        </w:tc>
      </w:tr>
    </w:tbl>
    <w:p>
      <w:pPr>
        <w:widowControl/>
        <w:jc w:val="left"/>
        <w:rPr>
          <w:rFonts w:ascii="仿宋_GB2312" w:hAnsi="仿宋_GB2312" w:eastAsia="仿宋_GB2312" w:cs="仿宋_GB2312"/>
          <w:color w:val="000000" w:themeColor="text1"/>
          <w:kern w:val="0"/>
          <w:sz w:val="32"/>
          <w:szCs w:val="32"/>
          <w14:textFill>
            <w14:solidFill>
              <w14:schemeClr w14:val="tx1"/>
            </w14:solidFill>
          </w14:textFill>
        </w:rPr>
      </w:pPr>
    </w:p>
    <w:p>
      <w:pPr>
        <w:widowControl/>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p>
    <w:p>
      <w:pPr>
        <w:widowControl/>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p>
    <w:p>
      <w:pPr>
        <w:widowControl/>
        <w:jc w:val="center"/>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鄂尔多斯生态环境职业学院教务处制</w:t>
      </w:r>
    </w:p>
    <w:p>
      <w:pPr>
        <w:widowControl/>
        <w:jc w:val="center"/>
        <w:rPr>
          <w:rFonts w:ascii="黑体" w:hAnsi="黑体" w:eastAsia="黑体" w:cs="黑体"/>
          <w:color w:val="000000" w:themeColor="text1"/>
          <w:kern w:val="0"/>
          <w:sz w:val="32"/>
          <w:szCs w:val="32"/>
          <w14:textFill>
            <w14:solidFill>
              <w14:schemeClr w14:val="tx1"/>
            </w14:solidFill>
          </w14:textFill>
        </w:rPr>
        <w:sectPr>
          <w:footerReference r:id="rId3" w:type="default"/>
          <w:pgSz w:w="11906" w:h="16838"/>
          <w:pgMar w:top="2098" w:right="1474" w:bottom="1984" w:left="1587" w:header="851" w:footer="992" w:gutter="0"/>
          <w:pgNumType w:start="1"/>
          <w:cols w:space="720" w:num="1"/>
          <w:docGrid w:type="lines" w:linePitch="312" w:charSpace="0"/>
        </w:sectPr>
      </w:pPr>
      <w:r>
        <w:rPr>
          <w:rFonts w:hint="eastAsia" w:ascii="黑体" w:hAnsi="黑体" w:eastAsia="黑体" w:cs="黑体"/>
          <w:color w:val="000000" w:themeColor="text1"/>
          <w:kern w:val="0"/>
          <w:sz w:val="32"/>
          <w:szCs w:val="32"/>
          <w14:textFill>
            <w14:solidFill>
              <w14:schemeClr w14:val="tx1"/>
            </w14:solidFill>
          </w14:textFill>
        </w:rPr>
        <w:t>二○二二年十月</w:t>
      </w:r>
    </w:p>
    <w:sdt>
      <w:sdtPr>
        <w:rPr>
          <w:rFonts w:hint="eastAsia" w:ascii="方正小标宋简体" w:hAnsi="方正小标宋简体" w:eastAsia="方正小标宋简体" w:cs="方正小标宋简体"/>
          <w:color w:val="000000" w:themeColor="text1"/>
          <w:sz w:val="44"/>
          <w:szCs w:val="44"/>
          <w14:textFill>
            <w14:solidFill>
              <w14:schemeClr w14:val="tx1"/>
            </w14:solidFill>
          </w14:textFill>
        </w:rPr>
        <w:id w:val="147469859"/>
        <w15:color w:val="DBDBDB"/>
        <w:docPartObj>
          <w:docPartGallery w:val="Table of Contents"/>
          <w:docPartUnique/>
        </w:docPartObj>
      </w:sdtPr>
      <w:sdtEndPr>
        <w:rPr>
          <w:rFonts w:hint="eastAsia" w:ascii="Segoe UI Variable Text" w:hAnsi="Segoe UI Variable Text" w:eastAsia="Segoe UI Variable Text" w:cs="Segoe UI Variable Text"/>
          <w:color w:val="000000" w:themeColor="text1"/>
          <w:sz w:val="21"/>
          <w:szCs w:val="22"/>
          <w14:textFill>
            <w14:solidFill>
              <w14:schemeClr w14:val="tx1"/>
            </w14:solidFill>
          </w14:textFill>
        </w:rPr>
      </w:sdtEndPr>
      <w:sdtContent>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目录</w:t>
          </w:r>
        </w:p>
        <w:p>
          <w:pPr>
            <w:pStyle w:val="17"/>
            <w:tabs>
              <w:tab w:val="right" w:leader="dot" w:pos="8845"/>
            </w:tabs>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"1-3" \h \u </w:instrText>
          </w:r>
          <w:r>
            <w:rPr>
              <w:color w:val="000000" w:themeColor="text1"/>
              <w14:textFill>
                <w14:solidFill>
                  <w14:schemeClr w14:val="tx1"/>
                </w14:solidFill>
              </w14:textFill>
            </w:rPr>
            <w:fldChar w:fldCharType="separate"/>
          </w:r>
          <w:r>
            <w:fldChar w:fldCharType="begin"/>
          </w:r>
          <w:r>
            <w:instrText xml:space="preserve"> HYPERLINK \l "_Toc30087" </w:instrText>
          </w:r>
          <w:r>
            <w:fldChar w:fldCharType="separate"/>
          </w:r>
          <w:r>
            <w:rPr>
              <w:rFonts w:hint="eastAsia" w:ascii="黑体" w:hAnsi="黑体" w:eastAsia="黑体" w:cs="黑体"/>
              <w:bCs/>
              <w:szCs w:val="28"/>
            </w:rPr>
            <w:t>一、专业名称（专业代码）</w:t>
          </w:r>
          <w:r>
            <w:tab/>
          </w:r>
          <w:r>
            <w:fldChar w:fldCharType="begin"/>
          </w:r>
          <w:r>
            <w:instrText xml:space="preserve"> PAGEREF _Toc30087 \h </w:instrText>
          </w:r>
          <w:r>
            <w:fldChar w:fldCharType="separate"/>
          </w:r>
          <w:r>
            <w:t>3</w:t>
          </w:r>
          <w:r>
            <w:fldChar w:fldCharType="end"/>
          </w:r>
          <w:r>
            <w:fldChar w:fldCharType="end"/>
          </w:r>
        </w:p>
        <w:p>
          <w:pPr>
            <w:pStyle w:val="17"/>
            <w:tabs>
              <w:tab w:val="right" w:leader="dot" w:pos="8845"/>
            </w:tabs>
          </w:pPr>
          <w:r>
            <w:fldChar w:fldCharType="begin"/>
          </w:r>
          <w:r>
            <w:instrText xml:space="preserve"> HYPERLINK \l "_Toc10415" </w:instrText>
          </w:r>
          <w:r>
            <w:fldChar w:fldCharType="separate"/>
          </w:r>
          <w:r>
            <w:rPr>
              <w:rFonts w:hint="eastAsia" w:ascii="黑体" w:hAnsi="黑体" w:eastAsia="黑体" w:cs="黑体"/>
              <w:bCs/>
              <w:szCs w:val="28"/>
            </w:rPr>
            <w:t>二、入学要求</w:t>
          </w:r>
          <w:r>
            <w:tab/>
          </w:r>
          <w:r>
            <w:fldChar w:fldCharType="begin"/>
          </w:r>
          <w:r>
            <w:instrText xml:space="preserve"> PAGEREF _Toc10415 \h </w:instrText>
          </w:r>
          <w:r>
            <w:fldChar w:fldCharType="separate"/>
          </w:r>
          <w:r>
            <w:t>3</w:t>
          </w:r>
          <w:r>
            <w:fldChar w:fldCharType="end"/>
          </w:r>
          <w:r>
            <w:fldChar w:fldCharType="end"/>
          </w:r>
        </w:p>
        <w:p>
          <w:pPr>
            <w:pStyle w:val="17"/>
            <w:tabs>
              <w:tab w:val="right" w:leader="dot" w:pos="8845"/>
            </w:tabs>
          </w:pPr>
          <w:r>
            <w:fldChar w:fldCharType="begin"/>
          </w:r>
          <w:r>
            <w:instrText xml:space="preserve"> HYPERLINK \l "_Toc20397" </w:instrText>
          </w:r>
          <w:r>
            <w:fldChar w:fldCharType="separate"/>
          </w:r>
          <w:r>
            <w:rPr>
              <w:rFonts w:hint="eastAsia" w:ascii="黑体" w:hAnsi="黑体" w:eastAsia="黑体" w:cs="黑体"/>
              <w:bCs/>
              <w:szCs w:val="28"/>
            </w:rPr>
            <w:t>三、修业年限及学历</w:t>
          </w:r>
          <w:r>
            <w:tab/>
          </w:r>
          <w:r>
            <w:fldChar w:fldCharType="begin"/>
          </w:r>
          <w:r>
            <w:instrText xml:space="preserve"> PAGEREF _Toc20397 \h </w:instrText>
          </w:r>
          <w:r>
            <w:fldChar w:fldCharType="separate"/>
          </w:r>
          <w:r>
            <w:t>3</w:t>
          </w:r>
          <w:r>
            <w:fldChar w:fldCharType="end"/>
          </w:r>
          <w:r>
            <w:fldChar w:fldCharType="end"/>
          </w:r>
        </w:p>
        <w:p>
          <w:pPr>
            <w:pStyle w:val="17"/>
            <w:tabs>
              <w:tab w:val="right" w:leader="dot" w:pos="8845"/>
            </w:tabs>
          </w:pPr>
          <w:r>
            <w:fldChar w:fldCharType="begin"/>
          </w:r>
          <w:r>
            <w:instrText xml:space="preserve"> HYPERLINK \l "_Toc27009" </w:instrText>
          </w:r>
          <w:r>
            <w:fldChar w:fldCharType="separate"/>
          </w:r>
          <w:r>
            <w:rPr>
              <w:rFonts w:hint="eastAsia" w:ascii="黑体" w:hAnsi="黑体" w:eastAsia="黑体" w:cs="黑体"/>
              <w:bCs/>
              <w:szCs w:val="28"/>
            </w:rPr>
            <w:t>四、职业面向</w:t>
          </w:r>
          <w:r>
            <w:tab/>
          </w:r>
          <w:r>
            <w:fldChar w:fldCharType="begin"/>
          </w:r>
          <w:r>
            <w:instrText xml:space="preserve"> PAGEREF _Toc27009 \h </w:instrText>
          </w:r>
          <w:r>
            <w:fldChar w:fldCharType="separate"/>
          </w:r>
          <w:r>
            <w:t>3</w:t>
          </w:r>
          <w:r>
            <w:fldChar w:fldCharType="end"/>
          </w:r>
          <w:r>
            <w:fldChar w:fldCharType="end"/>
          </w:r>
        </w:p>
        <w:p>
          <w:pPr>
            <w:pStyle w:val="21"/>
            <w:tabs>
              <w:tab w:val="right" w:leader="dot" w:pos="8845"/>
            </w:tabs>
          </w:pPr>
          <w:r>
            <w:fldChar w:fldCharType="begin"/>
          </w:r>
          <w:r>
            <w:instrText xml:space="preserve"> HYPERLINK \l "_Toc16142" </w:instrText>
          </w:r>
          <w:r>
            <w:fldChar w:fldCharType="separate"/>
          </w:r>
          <w:r>
            <w:rPr>
              <w:rFonts w:hint="eastAsia" w:ascii="楷体_GB2312" w:hAnsi="楷体_GB2312" w:eastAsia="楷体_GB2312" w:cs="楷体_GB2312"/>
              <w:szCs w:val="28"/>
            </w:rPr>
            <w:t>（一）本专业职业面向（参照专业教学标准填写）</w:t>
          </w:r>
          <w:r>
            <w:tab/>
          </w:r>
          <w:r>
            <w:fldChar w:fldCharType="begin"/>
          </w:r>
          <w:r>
            <w:instrText xml:space="preserve"> PAGEREF _Toc16142 \h </w:instrText>
          </w:r>
          <w:r>
            <w:fldChar w:fldCharType="separate"/>
          </w:r>
          <w:r>
            <w:t>3</w:t>
          </w:r>
          <w:r>
            <w:fldChar w:fldCharType="end"/>
          </w:r>
          <w:r>
            <w:fldChar w:fldCharType="end"/>
          </w:r>
        </w:p>
        <w:p>
          <w:pPr>
            <w:pStyle w:val="21"/>
            <w:tabs>
              <w:tab w:val="right" w:leader="dot" w:pos="8845"/>
            </w:tabs>
          </w:pPr>
          <w:r>
            <w:fldChar w:fldCharType="begin"/>
          </w:r>
          <w:r>
            <w:instrText xml:space="preserve"> HYPERLINK \l "_Toc9981" </w:instrText>
          </w:r>
          <w:r>
            <w:fldChar w:fldCharType="separate"/>
          </w:r>
          <w:r>
            <w:rPr>
              <w:rFonts w:hint="eastAsia" w:ascii="楷体_GB2312" w:hAnsi="楷体_GB2312" w:eastAsia="楷体_GB2312" w:cs="楷体_GB2312"/>
              <w:szCs w:val="28"/>
            </w:rPr>
            <w:t>（二）职业等级证书、行业企业标准和证书</w:t>
          </w:r>
          <w:r>
            <w:tab/>
          </w:r>
          <w:r>
            <w:fldChar w:fldCharType="begin"/>
          </w:r>
          <w:r>
            <w:instrText xml:space="preserve"> PAGEREF _Toc9981 \h </w:instrText>
          </w:r>
          <w:r>
            <w:fldChar w:fldCharType="separate"/>
          </w:r>
          <w:r>
            <w:t>3</w:t>
          </w:r>
          <w:r>
            <w:fldChar w:fldCharType="end"/>
          </w:r>
          <w:r>
            <w:fldChar w:fldCharType="end"/>
          </w:r>
        </w:p>
        <w:p>
          <w:pPr>
            <w:pStyle w:val="21"/>
            <w:tabs>
              <w:tab w:val="right" w:leader="dot" w:pos="8845"/>
            </w:tabs>
          </w:pPr>
          <w:r>
            <w:fldChar w:fldCharType="begin"/>
          </w:r>
          <w:r>
            <w:instrText xml:space="preserve"> HYPERLINK \l "_Toc93" </w:instrText>
          </w:r>
          <w:r>
            <w:fldChar w:fldCharType="separate"/>
          </w:r>
          <w:r>
            <w:rPr>
              <w:rFonts w:hint="eastAsia" w:ascii="仿宋_GB2312" w:hAnsi="仿宋_GB2312" w:eastAsia="仿宋_GB2312" w:cs="仿宋_GB2312"/>
              <w:szCs w:val="28"/>
            </w:rPr>
            <w:t>1.通用证书</w:t>
          </w:r>
          <w:r>
            <w:tab/>
          </w:r>
          <w:r>
            <w:fldChar w:fldCharType="begin"/>
          </w:r>
          <w:r>
            <w:instrText xml:space="preserve"> PAGEREF _Toc93 \h </w:instrText>
          </w:r>
          <w:r>
            <w:fldChar w:fldCharType="separate"/>
          </w:r>
          <w:r>
            <w:t>3</w:t>
          </w:r>
          <w:r>
            <w:fldChar w:fldCharType="end"/>
          </w:r>
          <w:r>
            <w:fldChar w:fldCharType="end"/>
          </w:r>
        </w:p>
        <w:p>
          <w:pPr>
            <w:pStyle w:val="21"/>
            <w:tabs>
              <w:tab w:val="right" w:leader="dot" w:pos="8845"/>
            </w:tabs>
          </w:pPr>
          <w:r>
            <w:fldChar w:fldCharType="begin"/>
          </w:r>
          <w:r>
            <w:instrText xml:space="preserve"> HYPERLINK \l "_Toc8164" </w:instrText>
          </w:r>
          <w:r>
            <w:fldChar w:fldCharType="separate"/>
          </w:r>
          <w:r>
            <w:rPr>
              <w:rFonts w:hint="eastAsia" w:ascii="仿宋_GB2312" w:hAnsi="仿宋_GB2312" w:eastAsia="仿宋_GB2312" w:cs="仿宋_GB2312"/>
              <w:szCs w:val="28"/>
            </w:rPr>
            <w:t>2.本专业职业资格证书</w:t>
          </w:r>
          <w:r>
            <w:tab/>
          </w:r>
          <w:r>
            <w:fldChar w:fldCharType="begin"/>
          </w:r>
          <w:r>
            <w:instrText xml:space="preserve"> PAGEREF _Toc8164 \h </w:instrText>
          </w:r>
          <w:r>
            <w:fldChar w:fldCharType="separate"/>
          </w:r>
          <w:r>
            <w:t>3</w:t>
          </w:r>
          <w:r>
            <w:fldChar w:fldCharType="end"/>
          </w:r>
          <w:r>
            <w:fldChar w:fldCharType="end"/>
          </w:r>
        </w:p>
        <w:p>
          <w:pPr>
            <w:pStyle w:val="21"/>
            <w:tabs>
              <w:tab w:val="right" w:leader="dot" w:pos="8845"/>
            </w:tabs>
          </w:pPr>
          <w:r>
            <w:fldChar w:fldCharType="begin"/>
          </w:r>
          <w:r>
            <w:instrText xml:space="preserve"> HYPERLINK \l "_Toc24781" </w:instrText>
          </w:r>
          <w:r>
            <w:fldChar w:fldCharType="separate"/>
          </w:r>
          <w:r>
            <w:rPr>
              <w:rFonts w:hint="eastAsia" w:ascii="楷体_GB2312" w:hAnsi="楷体_GB2312" w:eastAsia="楷体_GB2312" w:cs="楷体_GB2312"/>
              <w:szCs w:val="28"/>
            </w:rPr>
            <w:t>（三）职业生涯发展路径</w:t>
          </w:r>
          <w:r>
            <w:tab/>
          </w:r>
          <w:r>
            <w:fldChar w:fldCharType="begin"/>
          </w:r>
          <w:r>
            <w:instrText xml:space="preserve"> PAGEREF _Toc24781 \h </w:instrText>
          </w:r>
          <w:r>
            <w:fldChar w:fldCharType="separate"/>
          </w:r>
          <w:r>
            <w:t>3</w:t>
          </w:r>
          <w:r>
            <w:fldChar w:fldCharType="end"/>
          </w:r>
          <w:r>
            <w:fldChar w:fldCharType="end"/>
          </w:r>
        </w:p>
        <w:p>
          <w:pPr>
            <w:pStyle w:val="17"/>
            <w:tabs>
              <w:tab w:val="right" w:leader="dot" w:pos="8845"/>
            </w:tabs>
          </w:pPr>
          <w:r>
            <w:fldChar w:fldCharType="begin"/>
          </w:r>
          <w:r>
            <w:instrText xml:space="preserve"> HYPERLINK \l "_Toc7860" </w:instrText>
          </w:r>
          <w:r>
            <w:fldChar w:fldCharType="separate"/>
          </w:r>
          <w:r>
            <w:rPr>
              <w:rFonts w:hint="eastAsia" w:ascii="黑体" w:hAnsi="黑体" w:eastAsia="黑体" w:cs="黑体"/>
              <w:bCs/>
              <w:szCs w:val="28"/>
            </w:rPr>
            <w:t>五、培养目标与规格</w:t>
          </w:r>
          <w:r>
            <w:tab/>
          </w:r>
          <w:r>
            <w:fldChar w:fldCharType="begin"/>
          </w:r>
          <w:r>
            <w:instrText xml:space="preserve"> PAGEREF _Toc7860 \h </w:instrText>
          </w:r>
          <w:r>
            <w:fldChar w:fldCharType="separate"/>
          </w:r>
          <w:r>
            <w:t>4</w:t>
          </w:r>
          <w:r>
            <w:fldChar w:fldCharType="end"/>
          </w:r>
          <w:r>
            <w:fldChar w:fldCharType="end"/>
          </w:r>
        </w:p>
        <w:p>
          <w:pPr>
            <w:pStyle w:val="17"/>
            <w:tabs>
              <w:tab w:val="right" w:leader="dot" w:pos="8845"/>
            </w:tabs>
          </w:pPr>
          <w:r>
            <w:fldChar w:fldCharType="begin"/>
          </w:r>
          <w:r>
            <w:instrText xml:space="preserve"> HYPERLINK \l "_Toc31453" </w:instrText>
          </w:r>
          <w:r>
            <w:fldChar w:fldCharType="separate"/>
          </w:r>
          <w:r>
            <w:rPr>
              <w:rFonts w:hint="eastAsia" w:ascii="楷体_GB2312" w:hAnsi="楷体_GB2312" w:eastAsia="楷体_GB2312" w:cs="楷体_GB2312"/>
              <w:bCs/>
              <w:szCs w:val="28"/>
            </w:rPr>
            <w:t>（一）培养目标</w:t>
          </w:r>
          <w:r>
            <w:tab/>
          </w:r>
          <w:r>
            <w:fldChar w:fldCharType="begin"/>
          </w:r>
          <w:r>
            <w:instrText xml:space="preserve"> PAGEREF _Toc31453 \h </w:instrText>
          </w:r>
          <w:r>
            <w:fldChar w:fldCharType="separate"/>
          </w:r>
          <w:r>
            <w:t>4</w:t>
          </w:r>
          <w:r>
            <w:fldChar w:fldCharType="end"/>
          </w:r>
          <w:r>
            <w:fldChar w:fldCharType="end"/>
          </w:r>
        </w:p>
        <w:p>
          <w:pPr>
            <w:pStyle w:val="17"/>
            <w:tabs>
              <w:tab w:val="right" w:leader="dot" w:pos="8845"/>
            </w:tabs>
          </w:pPr>
          <w:r>
            <w:fldChar w:fldCharType="begin"/>
          </w:r>
          <w:r>
            <w:instrText xml:space="preserve"> HYPERLINK \l "_Toc20435" </w:instrText>
          </w:r>
          <w:r>
            <w:fldChar w:fldCharType="separate"/>
          </w:r>
          <w:r>
            <w:rPr>
              <w:rFonts w:hint="eastAsia" w:ascii="楷体" w:hAnsi="楷体" w:eastAsia="楷体" w:cs="楷体"/>
              <w:bCs/>
              <w:szCs w:val="28"/>
            </w:rPr>
            <w:t>（二）培养规格</w:t>
          </w:r>
          <w:r>
            <w:tab/>
          </w:r>
          <w:r>
            <w:fldChar w:fldCharType="begin"/>
          </w:r>
          <w:r>
            <w:instrText xml:space="preserve"> PAGEREF _Toc20435 \h </w:instrText>
          </w:r>
          <w:r>
            <w:fldChar w:fldCharType="separate"/>
          </w:r>
          <w:r>
            <w:t>4</w:t>
          </w:r>
          <w:r>
            <w:fldChar w:fldCharType="end"/>
          </w:r>
          <w:r>
            <w:fldChar w:fldCharType="end"/>
          </w:r>
        </w:p>
        <w:p>
          <w:pPr>
            <w:pStyle w:val="21"/>
            <w:tabs>
              <w:tab w:val="right" w:leader="dot" w:pos="8845"/>
            </w:tabs>
          </w:pPr>
          <w:r>
            <w:fldChar w:fldCharType="begin"/>
          </w:r>
          <w:r>
            <w:instrText xml:space="preserve"> HYPERLINK \l "_Toc9617" </w:instrText>
          </w:r>
          <w:r>
            <w:fldChar w:fldCharType="separate"/>
          </w:r>
          <w:r>
            <w:rPr>
              <w:rFonts w:hint="eastAsia" w:ascii="楷体" w:hAnsi="楷体" w:eastAsia="楷体" w:cs="楷体"/>
              <w:bCs/>
              <w:szCs w:val="28"/>
            </w:rPr>
            <w:t>（三）创新创业能力的培养</w:t>
          </w:r>
          <w:r>
            <w:tab/>
          </w:r>
          <w:r>
            <w:fldChar w:fldCharType="begin"/>
          </w:r>
          <w:r>
            <w:instrText xml:space="preserve"> PAGEREF _Toc9617 \h </w:instrText>
          </w:r>
          <w:r>
            <w:fldChar w:fldCharType="separate"/>
          </w:r>
          <w:r>
            <w:t>6</w:t>
          </w:r>
          <w:r>
            <w:fldChar w:fldCharType="end"/>
          </w:r>
          <w:r>
            <w:fldChar w:fldCharType="end"/>
          </w:r>
        </w:p>
        <w:p>
          <w:pPr>
            <w:pStyle w:val="17"/>
            <w:tabs>
              <w:tab w:val="right" w:leader="dot" w:pos="8845"/>
            </w:tabs>
          </w:pPr>
          <w:r>
            <w:fldChar w:fldCharType="begin"/>
          </w:r>
          <w:r>
            <w:instrText xml:space="preserve"> HYPERLINK \l "_Toc13220" </w:instrText>
          </w:r>
          <w:r>
            <w:fldChar w:fldCharType="separate"/>
          </w:r>
          <w:r>
            <w:rPr>
              <w:rFonts w:hint="eastAsia" w:ascii="黑体" w:hAnsi="黑体" w:eastAsia="黑体" w:cs="黑体"/>
              <w:szCs w:val="28"/>
            </w:rPr>
            <w:t>六、课程设置及要求</w:t>
          </w:r>
          <w:r>
            <w:tab/>
          </w:r>
          <w:r>
            <w:fldChar w:fldCharType="begin"/>
          </w:r>
          <w:r>
            <w:instrText xml:space="preserve"> PAGEREF _Toc13220 \h </w:instrText>
          </w:r>
          <w:r>
            <w:fldChar w:fldCharType="separate"/>
          </w:r>
          <w:r>
            <w:t>7</w:t>
          </w:r>
          <w:r>
            <w:fldChar w:fldCharType="end"/>
          </w:r>
          <w:r>
            <w:fldChar w:fldCharType="end"/>
          </w:r>
        </w:p>
        <w:p>
          <w:pPr>
            <w:pStyle w:val="17"/>
            <w:tabs>
              <w:tab w:val="right" w:leader="dot" w:pos="8845"/>
            </w:tabs>
          </w:pPr>
          <w:r>
            <w:fldChar w:fldCharType="begin"/>
          </w:r>
          <w:r>
            <w:instrText xml:space="preserve"> HYPERLINK \l "_Toc29687" </w:instrText>
          </w:r>
          <w:r>
            <w:fldChar w:fldCharType="separate"/>
          </w:r>
          <w:r>
            <w:rPr>
              <w:rFonts w:hint="eastAsia" w:ascii="楷体_GB2312" w:hAnsi="楷体_GB2312" w:eastAsia="楷体_GB2312" w:cs="楷体_GB2312"/>
              <w:bCs/>
              <w:szCs w:val="28"/>
            </w:rPr>
            <w:t>（一）本专业公共基础课设置</w:t>
          </w:r>
          <w:r>
            <w:tab/>
          </w:r>
          <w:r>
            <w:fldChar w:fldCharType="begin"/>
          </w:r>
          <w:r>
            <w:instrText xml:space="preserve"> PAGEREF _Toc29687 \h </w:instrText>
          </w:r>
          <w:r>
            <w:fldChar w:fldCharType="separate"/>
          </w:r>
          <w:r>
            <w:t>7</w:t>
          </w:r>
          <w:r>
            <w:fldChar w:fldCharType="end"/>
          </w:r>
          <w:r>
            <w:fldChar w:fldCharType="end"/>
          </w:r>
        </w:p>
        <w:p>
          <w:pPr>
            <w:pStyle w:val="17"/>
            <w:tabs>
              <w:tab w:val="right" w:leader="dot" w:pos="8845"/>
            </w:tabs>
          </w:pPr>
          <w:r>
            <w:fldChar w:fldCharType="begin"/>
          </w:r>
          <w:r>
            <w:instrText xml:space="preserve"> HYPERLINK \l "_Toc27140" </w:instrText>
          </w:r>
          <w:r>
            <w:fldChar w:fldCharType="separate"/>
          </w:r>
          <w:r>
            <w:rPr>
              <w:rFonts w:hint="eastAsia" w:ascii="楷体_GB2312" w:hAnsi="楷体_GB2312" w:eastAsia="楷体_GB2312" w:cs="楷体_GB2312"/>
              <w:bCs/>
              <w:szCs w:val="28"/>
            </w:rPr>
            <w:t>（二）专业（技能）课设置</w:t>
          </w:r>
          <w:r>
            <w:tab/>
          </w:r>
          <w:r>
            <w:fldChar w:fldCharType="begin"/>
          </w:r>
          <w:r>
            <w:instrText xml:space="preserve"> PAGEREF _Toc27140 \h </w:instrText>
          </w:r>
          <w:r>
            <w:fldChar w:fldCharType="separate"/>
          </w:r>
          <w:r>
            <w:t>9</w:t>
          </w:r>
          <w:r>
            <w:fldChar w:fldCharType="end"/>
          </w:r>
          <w:r>
            <w:fldChar w:fldCharType="end"/>
          </w:r>
        </w:p>
        <w:p>
          <w:pPr>
            <w:pStyle w:val="17"/>
            <w:tabs>
              <w:tab w:val="right" w:leader="dot" w:pos="8845"/>
            </w:tabs>
          </w:pPr>
          <w:r>
            <w:fldChar w:fldCharType="begin"/>
          </w:r>
          <w:r>
            <w:instrText xml:space="preserve"> HYPERLINK \l "_Toc16060" </w:instrText>
          </w:r>
          <w:r>
            <w:fldChar w:fldCharType="separate"/>
          </w:r>
          <w:r>
            <w:rPr>
              <w:rFonts w:hint="eastAsia" w:ascii="黑体" w:hAnsi="黑体" w:eastAsia="黑体" w:cs="黑体"/>
              <w:bCs/>
              <w:szCs w:val="30"/>
            </w:rPr>
            <w:t>七、教学进程总体安排</w:t>
          </w:r>
          <w:r>
            <w:tab/>
          </w:r>
          <w:r>
            <w:fldChar w:fldCharType="begin"/>
          </w:r>
          <w:r>
            <w:instrText xml:space="preserve"> PAGEREF _Toc16060 \h </w:instrText>
          </w:r>
          <w:r>
            <w:fldChar w:fldCharType="separate"/>
          </w:r>
          <w:r>
            <w:t>12</w:t>
          </w:r>
          <w:r>
            <w:fldChar w:fldCharType="end"/>
          </w:r>
          <w:r>
            <w:fldChar w:fldCharType="end"/>
          </w:r>
        </w:p>
        <w:p>
          <w:pPr>
            <w:pStyle w:val="21"/>
            <w:tabs>
              <w:tab w:val="right" w:leader="dot" w:pos="8845"/>
            </w:tabs>
          </w:pPr>
          <w:r>
            <w:fldChar w:fldCharType="begin"/>
          </w:r>
          <w:r>
            <w:instrText xml:space="preserve"> HYPERLINK \l "_Toc18477" </w:instrText>
          </w:r>
          <w:r>
            <w:fldChar w:fldCharType="separate"/>
          </w:r>
          <w:r>
            <w:rPr>
              <w:rFonts w:hint="eastAsia" w:ascii="楷体_GB2312" w:hAnsi="楷体_GB2312" w:eastAsia="楷体_GB2312" w:cs="楷体_GB2312"/>
              <w:bCs/>
              <w:szCs w:val="30"/>
            </w:rPr>
            <w:t>（一）教育教学时间安排表</w:t>
          </w:r>
          <w:r>
            <w:tab/>
          </w:r>
          <w:r>
            <w:fldChar w:fldCharType="begin"/>
          </w:r>
          <w:r>
            <w:instrText xml:space="preserve"> PAGEREF _Toc18477 \h </w:instrText>
          </w:r>
          <w:r>
            <w:fldChar w:fldCharType="separate"/>
          </w:r>
          <w:r>
            <w:t>12</w:t>
          </w:r>
          <w:r>
            <w:fldChar w:fldCharType="end"/>
          </w:r>
          <w:r>
            <w:fldChar w:fldCharType="end"/>
          </w:r>
        </w:p>
        <w:p>
          <w:pPr>
            <w:pStyle w:val="21"/>
            <w:tabs>
              <w:tab w:val="right" w:leader="dot" w:pos="8845"/>
            </w:tabs>
          </w:pPr>
          <w:r>
            <w:fldChar w:fldCharType="begin"/>
          </w:r>
          <w:r>
            <w:instrText xml:space="preserve"> HYPERLINK \l "_Toc20608" </w:instrText>
          </w:r>
          <w:r>
            <w:fldChar w:fldCharType="separate"/>
          </w:r>
          <w:r>
            <w:rPr>
              <w:rFonts w:hint="eastAsia" w:ascii="楷体_GB2312" w:hAnsi="楷体_GB2312" w:eastAsia="楷体_GB2312" w:cs="楷体_GB2312"/>
              <w:bCs/>
              <w:szCs w:val="30"/>
            </w:rPr>
            <w:t>（二）理论与实践教学学时分配表</w:t>
          </w:r>
          <w:r>
            <w:tab/>
          </w:r>
          <w:r>
            <w:fldChar w:fldCharType="begin"/>
          </w:r>
          <w:r>
            <w:instrText xml:space="preserve"> PAGEREF _Toc20608 \h </w:instrText>
          </w:r>
          <w:r>
            <w:fldChar w:fldCharType="separate"/>
          </w:r>
          <w:r>
            <w:t>12</w:t>
          </w:r>
          <w:r>
            <w:fldChar w:fldCharType="end"/>
          </w:r>
          <w:r>
            <w:fldChar w:fldCharType="end"/>
          </w:r>
        </w:p>
        <w:p>
          <w:pPr>
            <w:pStyle w:val="21"/>
            <w:tabs>
              <w:tab w:val="right" w:leader="dot" w:pos="8845"/>
            </w:tabs>
          </w:pPr>
          <w:r>
            <w:fldChar w:fldCharType="begin"/>
          </w:r>
          <w:r>
            <w:instrText xml:space="preserve"> HYPERLINK \l "_Toc22338" </w:instrText>
          </w:r>
          <w:r>
            <w:fldChar w:fldCharType="separate"/>
          </w:r>
          <w:r>
            <w:rPr>
              <w:rFonts w:hint="eastAsia" w:ascii="楷体_GB2312" w:hAnsi="楷体_GB2312" w:eastAsia="楷体_GB2312" w:cs="楷体_GB2312"/>
              <w:bCs/>
              <w:szCs w:val="28"/>
            </w:rPr>
            <w:t>（三）教学进度安排计划表----必修课程设置及学分、学时、进程表</w:t>
          </w:r>
          <w:r>
            <w:tab/>
          </w:r>
          <w:r>
            <w:fldChar w:fldCharType="begin"/>
          </w:r>
          <w:r>
            <w:instrText xml:space="preserve"> PAGEREF _Toc22338 \h </w:instrText>
          </w:r>
          <w:r>
            <w:fldChar w:fldCharType="separate"/>
          </w:r>
          <w:r>
            <w:t>14</w:t>
          </w:r>
          <w:r>
            <w:fldChar w:fldCharType="end"/>
          </w:r>
          <w:r>
            <w:fldChar w:fldCharType="end"/>
          </w:r>
        </w:p>
        <w:p>
          <w:pPr>
            <w:pStyle w:val="17"/>
            <w:tabs>
              <w:tab w:val="right" w:leader="dot" w:pos="8845"/>
            </w:tabs>
          </w:pPr>
          <w:r>
            <w:fldChar w:fldCharType="begin"/>
          </w:r>
          <w:r>
            <w:instrText xml:space="preserve"> HYPERLINK \l "_Toc31424" </w:instrText>
          </w:r>
          <w:r>
            <w:fldChar w:fldCharType="separate"/>
          </w:r>
          <w:r>
            <w:rPr>
              <w:rFonts w:hint="eastAsia" w:ascii="黑体" w:hAnsi="黑体" w:eastAsia="黑体" w:cs="黑体"/>
              <w:bCs/>
              <w:szCs w:val="28"/>
            </w:rPr>
            <w:t>八、实施与保障</w:t>
          </w:r>
          <w:r>
            <w:tab/>
          </w:r>
          <w:r>
            <w:fldChar w:fldCharType="begin"/>
          </w:r>
          <w:r>
            <w:instrText xml:space="preserve"> PAGEREF _Toc31424 \h </w:instrText>
          </w:r>
          <w:r>
            <w:fldChar w:fldCharType="separate"/>
          </w:r>
          <w:r>
            <w:t>22</w:t>
          </w:r>
          <w:r>
            <w:fldChar w:fldCharType="end"/>
          </w:r>
          <w:r>
            <w:fldChar w:fldCharType="end"/>
          </w:r>
        </w:p>
        <w:p>
          <w:pPr>
            <w:pStyle w:val="21"/>
            <w:tabs>
              <w:tab w:val="right" w:leader="dot" w:pos="8845"/>
            </w:tabs>
          </w:pPr>
          <w:r>
            <w:fldChar w:fldCharType="begin"/>
          </w:r>
          <w:r>
            <w:instrText xml:space="preserve"> HYPERLINK \l "_Toc25638" </w:instrText>
          </w:r>
          <w:r>
            <w:fldChar w:fldCharType="separate"/>
          </w:r>
          <w:r>
            <w:rPr>
              <w:rFonts w:hint="eastAsia" w:ascii="楷体_GB2312" w:hAnsi="楷体_GB2312" w:eastAsia="楷体_GB2312" w:cs="楷体_GB2312"/>
              <w:bCs/>
              <w:szCs w:val="28"/>
            </w:rPr>
            <w:t>（一）师资队伍</w:t>
          </w:r>
          <w:r>
            <w:tab/>
          </w:r>
          <w:r>
            <w:fldChar w:fldCharType="begin"/>
          </w:r>
          <w:r>
            <w:instrText xml:space="preserve"> PAGEREF _Toc25638 \h </w:instrText>
          </w:r>
          <w:r>
            <w:fldChar w:fldCharType="separate"/>
          </w:r>
          <w:r>
            <w:t>22</w:t>
          </w:r>
          <w:r>
            <w:fldChar w:fldCharType="end"/>
          </w:r>
          <w:r>
            <w:fldChar w:fldCharType="end"/>
          </w:r>
        </w:p>
        <w:p>
          <w:pPr>
            <w:pStyle w:val="21"/>
            <w:tabs>
              <w:tab w:val="right" w:leader="dot" w:pos="8845"/>
            </w:tabs>
          </w:pPr>
          <w:r>
            <w:fldChar w:fldCharType="begin"/>
          </w:r>
          <w:r>
            <w:instrText xml:space="preserve"> HYPERLINK \l "_Toc31426" </w:instrText>
          </w:r>
          <w:r>
            <w:fldChar w:fldCharType="separate"/>
          </w:r>
          <w:r>
            <w:rPr>
              <w:rFonts w:hint="eastAsia" w:ascii="楷体_GB2312" w:hAnsi="楷体_GB2312" w:eastAsia="楷体_GB2312" w:cs="楷体_GB2312"/>
              <w:bCs/>
              <w:szCs w:val="28"/>
            </w:rPr>
            <w:t>（二）教学设施</w:t>
          </w:r>
          <w:r>
            <w:tab/>
          </w:r>
          <w:r>
            <w:fldChar w:fldCharType="begin"/>
          </w:r>
          <w:r>
            <w:instrText xml:space="preserve"> PAGEREF _Toc31426 \h </w:instrText>
          </w:r>
          <w:r>
            <w:fldChar w:fldCharType="separate"/>
          </w:r>
          <w:r>
            <w:t>22</w:t>
          </w:r>
          <w:r>
            <w:fldChar w:fldCharType="end"/>
          </w:r>
          <w:r>
            <w:fldChar w:fldCharType="end"/>
          </w:r>
        </w:p>
        <w:p>
          <w:pPr>
            <w:pStyle w:val="21"/>
            <w:tabs>
              <w:tab w:val="right" w:leader="dot" w:pos="8845"/>
            </w:tabs>
          </w:pPr>
          <w:r>
            <w:fldChar w:fldCharType="begin"/>
          </w:r>
          <w:r>
            <w:instrText xml:space="preserve"> HYPERLINK \l "_Toc4916" </w:instrText>
          </w:r>
          <w:r>
            <w:fldChar w:fldCharType="separate"/>
          </w:r>
          <w:r>
            <w:rPr>
              <w:rFonts w:hint="eastAsia" w:ascii="楷体_GB2312" w:hAnsi="楷体_GB2312" w:eastAsia="楷体_GB2312" w:cs="楷体_GB2312"/>
              <w:bCs/>
              <w:szCs w:val="28"/>
            </w:rPr>
            <w:t>（三）教学资源</w:t>
          </w:r>
          <w:r>
            <w:tab/>
          </w:r>
          <w:r>
            <w:fldChar w:fldCharType="begin"/>
          </w:r>
          <w:r>
            <w:instrText xml:space="preserve"> PAGEREF _Toc4916 \h </w:instrText>
          </w:r>
          <w:r>
            <w:fldChar w:fldCharType="separate"/>
          </w:r>
          <w:r>
            <w:t>23</w:t>
          </w:r>
          <w:r>
            <w:fldChar w:fldCharType="end"/>
          </w:r>
          <w:r>
            <w:fldChar w:fldCharType="end"/>
          </w:r>
        </w:p>
        <w:p>
          <w:pPr>
            <w:pStyle w:val="21"/>
            <w:tabs>
              <w:tab w:val="right" w:leader="dot" w:pos="8845"/>
            </w:tabs>
          </w:pPr>
          <w:r>
            <w:fldChar w:fldCharType="begin"/>
          </w:r>
          <w:r>
            <w:instrText xml:space="preserve"> HYPERLINK \l "_Toc30455" </w:instrText>
          </w:r>
          <w:r>
            <w:fldChar w:fldCharType="separate"/>
          </w:r>
          <w:r>
            <w:rPr>
              <w:rFonts w:hint="eastAsia" w:ascii="楷体_GB2312" w:hAnsi="楷体_GB2312" w:eastAsia="楷体_GB2312" w:cs="楷体_GB2312"/>
              <w:bCs/>
              <w:szCs w:val="28"/>
            </w:rPr>
            <w:t>（四）教学方法</w:t>
          </w:r>
          <w:r>
            <w:tab/>
          </w:r>
          <w:r>
            <w:fldChar w:fldCharType="begin"/>
          </w:r>
          <w:r>
            <w:instrText xml:space="preserve"> PAGEREF _Toc30455 \h </w:instrText>
          </w:r>
          <w:r>
            <w:fldChar w:fldCharType="separate"/>
          </w:r>
          <w:r>
            <w:t>23</w:t>
          </w:r>
          <w:r>
            <w:fldChar w:fldCharType="end"/>
          </w:r>
          <w:r>
            <w:fldChar w:fldCharType="end"/>
          </w:r>
        </w:p>
        <w:p>
          <w:pPr>
            <w:pStyle w:val="21"/>
            <w:tabs>
              <w:tab w:val="right" w:leader="dot" w:pos="8845"/>
            </w:tabs>
          </w:pPr>
          <w:r>
            <w:fldChar w:fldCharType="begin"/>
          </w:r>
          <w:r>
            <w:instrText xml:space="preserve"> HYPERLINK \l "_Toc16020" </w:instrText>
          </w:r>
          <w:r>
            <w:fldChar w:fldCharType="separate"/>
          </w:r>
          <w:r>
            <w:rPr>
              <w:rFonts w:hint="eastAsia" w:ascii="楷体_GB2312" w:hAnsi="楷体_GB2312" w:eastAsia="楷体_GB2312" w:cs="楷体_GB2312"/>
              <w:bCs/>
              <w:szCs w:val="28"/>
            </w:rPr>
            <w:t>（五）学习评价</w:t>
          </w:r>
          <w:r>
            <w:tab/>
          </w:r>
          <w:r>
            <w:fldChar w:fldCharType="begin"/>
          </w:r>
          <w:r>
            <w:instrText xml:space="preserve"> PAGEREF _Toc16020 \h </w:instrText>
          </w:r>
          <w:r>
            <w:fldChar w:fldCharType="separate"/>
          </w:r>
          <w:r>
            <w:t>24</w:t>
          </w:r>
          <w:r>
            <w:fldChar w:fldCharType="end"/>
          </w:r>
          <w:r>
            <w:fldChar w:fldCharType="end"/>
          </w:r>
        </w:p>
        <w:p>
          <w:pPr>
            <w:pStyle w:val="21"/>
            <w:tabs>
              <w:tab w:val="right" w:leader="dot" w:pos="8845"/>
            </w:tabs>
          </w:pPr>
          <w:r>
            <w:fldChar w:fldCharType="begin"/>
          </w:r>
          <w:r>
            <w:instrText xml:space="preserve"> HYPERLINK \l "_Toc24701" </w:instrText>
          </w:r>
          <w:r>
            <w:fldChar w:fldCharType="separate"/>
          </w:r>
          <w:r>
            <w:rPr>
              <w:rFonts w:hint="eastAsia" w:ascii="楷体_GB2312" w:hAnsi="楷体_GB2312" w:eastAsia="楷体_GB2312" w:cs="楷体_GB2312"/>
              <w:bCs/>
              <w:szCs w:val="28"/>
            </w:rPr>
            <w:t>（六）质量管理</w:t>
          </w:r>
          <w:r>
            <w:tab/>
          </w:r>
          <w:r>
            <w:fldChar w:fldCharType="begin"/>
          </w:r>
          <w:r>
            <w:instrText xml:space="preserve"> PAGEREF _Toc24701 \h </w:instrText>
          </w:r>
          <w:r>
            <w:fldChar w:fldCharType="separate"/>
          </w:r>
          <w:r>
            <w:t>24</w:t>
          </w:r>
          <w:r>
            <w:fldChar w:fldCharType="end"/>
          </w:r>
          <w:r>
            <w:fldChar w:fldCharType="end"/>
          </w:r>
        </w:p>
        <w:p>
          <w:pPr>
            <w:pStyle w:val="17"/>
            <w:tabs>
              <w:tab w:val="right" w:leader="dot" w:pos="8845"/>
            </w:tabs>
          </w:pPr>
          <w:r>
            <w:fldChar w:fldCharType="begin"/>
          </w:r>
          <w:r>
            <w:instrText xml:space="preserve"> HYPERLINK \l "_Toc23606" </w:instrText>
          </w:r>
          <w:r>
            <w:fldChar w:fldCharType="separate"/>
          </w:r>
          <w:r>
            <w:rPr>
              <w:rFonts w:hint="eastAsia" w:ascii="黑体" w:hAnsi="黑体" w:eastAsia="黑体" w:cs="黑体"/>
              <w:bCs/>
              <w:szCs w:val="28"/>
            </w:rPr>
            <w:t>九、毕业生要求</w:t>
          </w:r>
          <w:r>
            <w:tab/>
          </w:r>
          <w:r>
            <w:fldChar w:fldCharType="begin"/>
          </w:r>
          <w:r>
            <w:instrText xml:space="preserve"> PAGEREF _Toc23606 \h </w:instrText>
          </w:r>
          <w:r>
            <w:fldChar w:fldCharType="separate"/>
          </w:r>
          <w:r>
            <w:t>26</w:t>
          </w:r>
          <w:r>
            <w:fldChar w:fldCharType="end"/>
          </w:r>
          <w:r>
            <w:fldChar w:fldCharType="end"/>
          </w:r>
        </w:p>
        <w:p>
          <w:pPr>
            <w:rPr>
              <w:color w:val="000000" w:themeColor="text1"/>
              <w14:textFill>
                <w14:solidFill>
                  <w14:schemeClr w14:val="tx1"/>
                </w14:solidFill>
              </w14:textFill>
            </w:rPr>
          </w:pPr>
          <w:r>
            <w:rPr>
              <w:color w:val="000000" w:themeColor="text1"/>
              <w14:textFill>
                <w14:solidFill>
                  <w14:schemeClr w14:val="tx1"/>
                </w14:solidFill>
              </w14:textFill>
            </w:rPr>
            <w:fldChar w:fldCharType="end"/>
          </w:r>
        </w:p>
      </w:sdtContent>
    </w:sdt>
    <w:p>
      <w:pPr>
        <w:wordWrap w:val="0"/>
        <w:spacing w:line="52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p>
    <w:p>
      <w:pPr>
        <w:wordWrap w:val="0"/>
        <w:spacing w:line="52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p>
    <w:p>
      <w:pPr>
        <w:wordWrap w:val="0"/>
        <w:spacing w:line="48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p>
    <w:p>
      <w:pPr>
        <w:wordWrap w:val="0"/>
        <w:spacing w:line="48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bookmarkStart w:id="51" w:name="_GoBack"/>
      <w:bookmarkEnd w:id="51"/>
    </w:p>
    <w:p>
      <w:pPr>
        <w:wordWrap w:val="0"/>
        <w:spacing w:line="48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p>
    <w:p>
      <w:pPr>
        <w:wordWrap w:val="0"/>
        <w:spacing w:line="48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bookmarkStart w:id="0" w:name="_Toc30087"/>
      <w:r>
        <w:rPr>
          <w:rFonts w:hint="eastAsia" w:ascii="黑体" w:hAnsi="黑体" w:eastAsia="黑体" w:cs="黑体"/>
          <w:bCs/>
          <w:color w:val="000000" w:themeColor="text1"/>
          <w:sz w:val="28"/>
          <w:szCs w:val="28"/>
          <w14:textFill>
            <w14:solidFill>
              <w14:schemeClr w14:val="tx1"/>
            </w14:solidFill>
          </w14:textFill>
        </w:rPr>
        <w:t>一、专业名称（专业代码）</w:t>
      </w:r>
      <w:bookmarkEnd w:id="0"/>
    </w:p>
    <w:p>
      <w:pPr>
        <w:wordWrap w:val="0"/>
        <w:spacing w:line="480" w:lineRule="exact"/>
        <w:ind w:firstLine="600"/>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专业名称：汽车检测与维修技术</w:t>
      </w:r>
    </w:p>
    <w:p>
      <w:pPr>
        <w:wordWrap w:val="0"/>
        <w:spacing w:line="480" w:lineRule="exact"/>
        <w:ind w:firstLine="600"/>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专业代码：5</w:t>
      </w:r>
      <w:r>
        <w:rPr>
          <w:rFonts w:ascii="仿宋_GB2312" w:hAnsi="仿宋_GB2312" w:eastAsia="仿宋_GB2312" w:cs="仿宋_GB2312"/>
          <w:bCs/>
          <w:color w:val="000000" w:themeColor="text1"/>
          <w:sz w:val="28"/>
          <w:szCs w:val="28"/>
          <w14:textFill>
            <w14:solidFill>
              <w14:schemeClr w14:val="tx1"/>
            </w14:solidFill>
          </w14:textFill>
        </w:rPr>
        <w:t>00211</w:t>
      </w:r>
    </w:p>
    <w:p>
      <w:pPr>
        <w:wordWrap w:val="0"/>
        <w:spacing w:line="48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bookmarkStart w:id="1" w:name="_Toc10415"/>
      <w:r>
        <w:rPr>
          <w:rFonts w:hint="eastAsia" w:ascii="黑体" w:hAnsi="黑体" w:eastAsia="黑体" w:cs="黑体"/>
          <w:bCs/>
          <w:color w:val="000000" w:themeColor="text1"/>
          <w:sz w:val="28"/>
          <w:szCs w:val="28"/>
          <w14:textFill>
            <w14:solidFill>
              <w14:schemeClr w14:val="tx1"/>
            </w14:solidFill>
          </w14:textFill>
        </w:rPr>
        <w:t>二、入学要求</w:t>
      </w:r>
      <w:bookmarkEnd w:id="1"/>
    </w:p>
    <w:p>
      <w:pPr>
        <w:wordWrap w:val="0"/>
        <w:spacing w:line="480" w:lineRule="exact"/>
        <w:ind w:firstLine="560" w:firstLineChars="200"/>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高中阶段教育毕业生/具有同等学力者。</w:t>
      </w:r>
    </w:p>
    <w:p>
      <w:pPr>
        <w:wordWrap w:val="0"/>
        <w:spacing w:line="48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bookmarkStart w:id="2" w:name="_Toc20397"/>
      <w:r>
        <w:rPr>
          <w:rFonts w:hint="eastAsia" w:ascii="黑体" w:hAnsi="黑体" w:eastAsia="黑体" w:cs="黑体"/>
          <w:bCs/>
          <w:color w:val="000000" w:themeColor="text1"/>
          <w:sz w:val="28"/>
          <w:szCs w:val="28"/>
          <w14:textFill>
            <w14:solidFill>
              <w14:schemeClr w14:val="tx1"/>
            </w14:solidFill>
          </w14:textFill>
        </w:rPr>
        <w:t>三、修业年限及学历</w:t>
      </w:r>
      <w:bookmarkEnd w:id="2"/>
    </w:p>
    <w:p>
      <w:pPr>
        <w:wordWrap w:val="0"/>
        <w:spacing w:line="480" w:lineRule="exact"/>
        <w:ind w:firstLine="600"/>
        <w:jc w:val="lef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基本学制3年，专科。</w:t>
      </w:r>
    </w:p>
    <w:p>
      <w:pPr>
        <w:wordWrap w:val="0"/>
        <w:spacing w:line="48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bookmarkStart w:id="3" w:name="_Toc27009"/>
      <w:r>
        <w:rPr>
          <w:rFonts w:hint="eastAsia" w:ascii="黑体" w:hAnsi="黑体" w:eastAsia="黑体" w:cs="黑体"/>
          <w:bCs/>
          <w:color w:val="000000" w:themeColor="text1"/>
          <w:sz w:val="28"/>
          <w:szCs w:val="28"/>
          <w14:textFill>
            <w14:solidFill>
              <w14:schemeClr w14:val="tx1"/>
            </w14:solidFill>
          </w14:textFill>
        </w:rPr>
        <w:t>四、职业面向</w:t>
      </w:r>
      <w:bookmarkEnd w:id="3"/>
      <w:bookmarkStart w:id="4" w:name="_Toc38299245"/>
      <w:bookmarkStart w:id="5" w:name="_Toc38201832"/>
    </w:p>
    <w:p>
      <w:pPr>
        <w:wordWrap w:val="0"/>
        <w:spacing w:line="480" w:lineRule="exact"/>
        <w:ind w:firstLine="560" w:firstLineChars="200"/>
        <w:jc w:val="left"/>
        <w:outlineLvl w:val="1"/>
        <w:rPr>
          <w:rFonts w:ascii="楷体_GB2312" w:hAnsi="楷体_GB2312" w:eastAsia="楷体_GB2312" w:cs="楷体_GB2312"/>
          <w:color w:val="000000" w:themeColor="text1"/>
          <w:sz w:val="28"/>
          <w:szCs w:val="28"/>
          <w14:textFill>
            <w14:solidFill>
              <w14:schemeClr w14:val="tx1"/>
            </w14:solidFill>
          </w14:textFill>
        </w:rPr>
      </w:pPr>
      <w:bookmarkStart w:id="6" w:name="_Toc16142"/>
      <w:r>
        <w:rPr>
          <w:rFonts w:hint="eastAsia" w:ascii="楷体_GB2312" w:hAnsi="楷体_GB2312" w:eastAsia="楷体_GB2312" w:cs="楷体_GB2312"/>
          <w:color w:val="000000" w:themeColor="text1"/>
          <w:sz w:val="28"/>
          <w:szCs w:val="28"/>
          <w14:textFill>
            <w14:solidFill>
              <w14:schemeClr w14:val="tx1"/>
            </w14:solidFill>
          </w14:textFill>
        </w:rPr>
        <w:t>（一）本专业职业面向</w:t>
      </w:r>
      <w:bookmarkEnd w:id="4"/>
      <w:bookmarkEnd w:id="5"/>
      <w:bookmarkEnd w:id="6"/>
    </w:p>
    <w:tbl>
      <w:tblPr>
        <w:tblStyle w:val="27"/>
        <w:tblpPr w:leftFromText="180" w:rightFromText="180" w:vertAnchor="text" w:horzAnchor="page" w:tblpX="1838" w:tblpY="350"/>
        <w:tblOverlap w:val="never"/>
        <w:tblW w:w="8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390"/>
        <w:gridCol w:w="1512"/>
        <w:gridCol w:w="2238"/>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3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所属专业大类（代码）</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所属专业类</w:t>
            </w:r>
          </w:p>
          <w:p>
            <w:pPr>
              <w:snapToGrid w:val="0"/>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（代码）</w:t>
            </w:r>
          </w:p>
        </w:tc>
        <w:tc>
          <w:tcPr>
            <w:tcW w:w="15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对应行业</w:t>
            </w:r>
          </w:p>
          <w:p>
            <w:pPr>
              <w:snapToGrid w:val="0"/>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（代码）</w:t>
            </w:r>
          </w:p>
        </w:tc>
        <w:tc>
          <w:tcPr>
            <w:tcW w:w="22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主要职业类别</w:t>
            </w:r>
          </w:p>
          <w:p>
            <w:pPr>
              <w:snapToGrid w:val="0"/>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（代码）</w:t>
            </w:r>
          </w:p>
        </w:tc>
        <w:tc>
          <w:tcPr>
            <w:tcW w:w="20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主要岗位群或技术领域举例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交通运输大类（</w:t>
            </w:r>
            <w:r>
              <w:rPr>
                <w:rFonts w:ascii="宋体" w:hAnsi="宋体" w:eastAsia="宋体" w:cs="宋体"/>
                <w:bCs/>
                <w:color w:val="000000" w:themeColor="text1"/>
                <w:kern w:val="0"/>
                <w:szCs w:val="21"/>
                <w14:textFill>
                  <w14:solidFill>
                    <w14:schemeClr w14:val="tx1"/>
                  </w14:solidFill>
                </w14:textFill>
              </w:rPr>
              <w:t>50</w:t>
            </w:r>
            <w:r>
              <w:rPr>
                <w:rFonts w:hint="eastAsia" w:ascii="宋体" w:hAnsi="宋体" w:eastAsia="宋体" w:cs="宋体"/>
                <w:bCs/>
                <w:color w:val="000000" w:themeColor="text1"/>
                <w:kern w:val="0"/>
                <w:szCs w:val="21"/>
                <w14:textFill>
                  <w14:solidFill>
                    <w14:schemeClr w14:val="tx1"/>
                  </w14:solidFill>
                </w14:textFill>
              </w:rPr>
              <w:t>）</w:t>
            </w:r>
          </w:p>
        </w:tc>
        <w:tc>
          <w:tcPr>
            <w:tcW w:w="13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道路运输类（</w:t>
            </w:r>
            <w:r>
              <w:rPr>
                <w:rFonts w:ascii="宋体" w:hAnsi="宋体" w:eastAsia="宋体" w:cs="宋体"/>
                <w:bCs/>
                <w:color w:val="000000" w:themeColor="text1"/>
                <w:kern w:val="0"/>
                <w:szCs w:val="21"/>
                <w14:textFill>
                  <w14:solidFill>
                    <w14:schemeClr w14:val="tx1"/>
                  </w14:solidFill>
                </w14:textFill>
              </w:rPr>
              <w:t>5002</w:t>
            </w:r>
            <w:r>
              <w:rPr>
                <w:rFonts w:hint="eastAsia" w:ascii="宋体" w:hAnsi="宋体" w:eastAsia="宋体" w:cs="宋体"/>
                <w:bCs/>
                <w:color w:val="000000" w:themeColor="text1"/>
                <w:kern w:val="0"/>
                <w:szCs w:val="21"/>
                <w14:textFill>
                  <w14:solidFill>
                    <w14:schemeClr w14:val="tx1"/>
                  </w14:solidFill>
                </w14:textFill>
              </w:rPr>
              <w:t>）</w:t>
            </w:r>
          </w:p>
        </w:tc>
        <w:tc>
          <w:tcPr>
            <w:tcW w:w="1512"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jc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汽车修理与维护</w:t>
            </w:r>
          </w:p>
          <w:p>
            <w:pPr>
              <w:snapToGrid w:val="0"/>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（8</w:t>
            </w:r>
            <w:r>
              <w:rPr>
                <w:rFonts w:ascii="宋体" w:hAnsi="宋体" w:eastAsia="宋体" w:cs="宋体"/>
                <w:bCs/>
                <w:color w:val="000000" w:themeColor="text1"/>
                <w:kern w:val="0"/>
                <w:szCs w:val="21"/>
                <w14:textFill>
                  <w14:solidFill>
                    <w14:schemeClr w14:val="tx1"/>
                  </w14:solidFill>
                </w14:textFill>
              </w:rPr>
              <w:t>11</w:t>
            </w:r>
            <w:r>
              <w:rPr>
                <w:rFonts w:hint="eastAsia" w:ascii="宋体" w:hAnsi="宋体" w:eastAsia="宋体" w:cs="宋体"/>
                <w:bCs/>
                <w:color w:val="000000" w:themeColor="text1"/>
                <w:kern w:val="0"/>
                <w:szCs w:val="21"/>
                <w14:textFill>
                  <w14:solidFill>
                    <w14:schemeClr w14:val="tx1"/>
                  </w14:solidFill>
                </w14:textFill>
              </w:rPr>
              <w:t>1）</w:t>
            </w:r>
          </w:p>
        </w:tc>
        <w:tc>
          <w:tcPr>
            <w:tcW w:w="2238"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eastAsia="宋体" w:cs="宋体"/>
                <w:bCs/>
                <w:color w:val="000000" w:themeColor="text1"/>
                <w:szCs w:val="21"/>
                <w14:textFill>
                  <w14:solidFill>
                    <w14:schemeClr w14:val="tx1"/>
                  </w14:solidFill>
                </w14:textFill>
              </w:rPr>
            </w:pPr>
            <w:r>
              <w:rPr>
                <w:rFonts w:hint="eastAsia"/>
              </w:rPr>
              <w:t>汽车运用工程技术人员(2-02-15-01)、汽车维修工</w:t>
            </w:r>
            <w:r>
              <w:t>(4-12-01-01)</w:t>
            </w:r>
          </w:p>
        </w:tc>
        <w:tc>
          <w:tcPr>
            <w:tcW w:w="2065"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eastAsia="宋体" w:cs="宋体"/>
                <w:bCs/>
                <w:color w:val="000000" w:themeColor="text1"/>
                <w:szCs w:val="21"/>
                <w14:textFill>
                  <w14:solidFill>
                    <w14:schemeClr w14:val="tx1"/>
                  </w14:solidFill>
                </w14:textFill>
              </w:rPr>
            </w:pPr>
            <w:r>
              <w:rPr>
                <w:rFonts w:hint="eastAsia"/>
              </w:rPr>
              <w:t>汽车机电维修、汽车服务顾问</w:t>
            </w:r>
          </w:p>
        </w:tc>
      </w:tr>
    </w:tbl>
    <w:p>
      <w:pPr>
        <w:wordWrap w:val="0"/>
        <w:spacing w:line="560" w:lineRule="exact"/>
        <w:ind w:firstLine="560" w:firstLineChars="200"/>
        <w:jc w:val="left"/>
        <w:outlineLvl w:val="1"/>
        <w:rPr>
          <w:rFonts w:ascii="楷体_GB2312" w:hAnsi="楷体_GB2312" w:eastAsia="楷体_GB2312" w:cs="楷体_GB2312"/>
          <w:color w:val="000000" w:themeColor="text1"/>
          <w:sz w:val="28"/>
          <w:szCs w:val="28"/>
          <w14:textFill>
            <w14:solidFill>
              <w14:schemeClr w14:val="tx1"/>
            </w14:solidFill>
          </w14:textFill>
        </w:rPr>
      </w:pPr>
      <w:bookmarkStart w:id="7" w:name="_Toc9981"/>
      <w:bookmarkStart w:id="8" w:name="_Toc38201833"/>
      <w:bookmarkStart w:id="9" w:name="_Toc38299246"/>
      <w:r>
        <w:rPr>
          <w:rFonts w:hint="eastAsia" w:ascii="楷体_GB2312" w:hAnsi="楷体_GB2312" w:eastAsia="楷体_GB2312" w:cs="楷体_GB2312"/>
          <w:color w:val="000000" w:themeColor="text1"/>
          <w:sz w:val="28"/>
          <w:szCs w:val="28"/>
          <w14:textFill>
            <w14:solidFill>
              <w14:schemeClr w14:val="tx1"/>
            </w14:solidFill>
          </w14:textFill>
        </w:rPr>
        <w:t>（二）职业等级证书、行业企业标准和证书</w:t>
      </w:r>
      <w:bookmarkEnd w:id="7"/>
      <w:bookmarkEnd w:id="8"/>
      <w:bookmarkEnd w:id="9"/>
    </w:p>
    <w:p>
      <w:pPr>
        <w:pStyle w:val="82"/>
        <w:spacing w:line="560" w:lineRule="exact"/>
        <w:ind w:firstLine="560" w:firstLineChars="200"/>
        <w:outlineLvl w:val="9"/>
        <w:rPr>
          <w:rFonts w:ascii="仿宋_GB2312" w:hAnsi="仿宋_GB2312" w:eastAsia="仿宋_GB2312" w:cs="仿宋_GB2312"/>
          <w:b w:val="0"/>
          <w:color w:val="000000" w:themeColor="text1"/>
          <w:sz w:val="28"/>
          <w:szCs w:val="28"/>
          <w14:textFill>
            <w14:solidFill>
              <w14:schemeClr w14:val="tx1"/>
            </w14:solidFill>
          </w14:textFill>
        </w:rPr>
      </w:pPr>
      <w:bookmarkStart w:id="10" w:name="_Toc93"/>
      <w:bookmarkStart w:id="11" w:name="_Toc9012"/>
      <w:r>
        <w:rPr>
          <w:rFonts w:hint="eastAsia" w:ascii="仿宋_GB2312" w:hAnsi="仿宋_GB2312" w:eastAsia="仿宋_GB2312" w:cs="仿宋_GB2312"/>
          <w:b w:val="0"/>
          <w:color w:val="000000" w:themeColor="text1"/>
          <w:sz w:val="28"/>
          <w:szCs w:val="28"/>
          <w14:textFill>
            <w14:solidFill>
              <w14:schemeClr w14:val="tx1"/>
            </w14:solidFill>
          </w14:textFill>
        </w:rPr>
        <w:t>1.通用证书</w:t>
      </w:r>
      <w:bookmarkEnd w:id="10"/>
      <w:bookmarkEnd w:id="11"/>
    </w:p>
    <w:tbl>
      <w:tblPr>
        <w:tblStyle w:val="27"/>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3"/>
        <w:gridCol w:w="2190"/>
        <w:gridCol w:w="3762"/>
        <w:gridCol w:w="946"/>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jc w:val="center"/>
        </w:trPr>
        <w:tc>
          <w:tcPr>
            <w:tcW w:w="813" w:type="dxa"/>
            <w:vAlign w:val="center"/>
          </w:tcPr>
          <w:p>
            <w:pPr>
              <w:snapToGrid w:val="0"/>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序号</w:t>
            </w:r>
          </w:p>
        </w:tc>
        <w:tc>
          <w:tcPr>
            <w:tcW w:w="2190" w:type="dxa"/>
            <w:vAlign w:val="center"/>
          </w:tcPr>
          <w:p>
            <w:pPr>
              <w:snapToGrid w:val="0"/>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考核项目</w:t>
            </w:r>
          </w:p>
        </w:tc>
        <w:tc>
          <w:tcPr>
            <w:tcW w:w="3762" w:type="dxa"/>
            <w:vAlign w:val="center"/>
          </w:tcPr>
          <w:p>
            <w:pPr>
              <w:snapToGrid w:val="0"/>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考核发证部门</w:t>
            </w:r>
          </w:p>
        </w:tc>
        <w:tc>
          <w:tcPr>
            <w:tcW w:w="946" w:type="dxa"/>
            <w:vAlign w:val="center"/>
          </w:tcPr>
          <w:p>
            <w:pPr>
              <w:snapToGrid w:val="0"/>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等级</w:t>
            </w:r>
          </w:p>
        </w:tc>
        <w:tc>
          <w:tcPr>
            <w:tcW w:w="845" w:type="dxa"/>
            <w:vAlign w:val="center"/>
          </w:tcPr>
          <w:p>
            <w:pPr>
              <w:snapToGrid w:val="0"/>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exact"/>
          <w:jc w:val="center"/>
        </w:trPr>
        <w:tc>
          <w:tcPr>
            <w:tcW w:w="813"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2190"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全国英语等级考试</w:t>
            </w:r>
          </w:p>
        </w:tc>
        <w:tc>
          <w:tcPr>
            <w:tcW w:w="3762"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教育部考试中心</w:t>
            </w:r>
          </w:p>
        </w:tc>
        <w:tc>
          <w:tcPr>
            <w:tcW w:w="946"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三级</w:t>
            </w:r>
          </w:p>
        </w:tc>
        <w:tc>
          <w:tcPr>
            <w:tcW w:w="845" w:type="dxa"/>
            <w:vAlign w:val="center"/>
          </w:tcPr>
          <w:p>
            <w:pPr>
              <w:snapToGrid w:val="0"/>
              <w:jc w:val="center"/>
              <w:rPr>
                <w:rFonts w:asciiTheme="minorEastAsia" w:hAnsiTheme="minorEastAsia" w:cstheme="minorEastAsia"/>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exact"/>
          <w:jc w:val="center"/>
        </w:trPr>
        <w:tc>
          <w:tcPr>
            <w:tcW w:w="813"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p>
        </w:tc>
        <w:tc>
          <w:tcPr>
            <w:tcW w:w="2190"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普通话</w:t>
            </w:r>
          </w:p>
        </w:tc>
        <w:tc>
          <w:tcPr>
            <w:tcW w:w="3762"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国家语言文字委员会</w:t>
            </w:r>
          </w:p>
        </w:tc>
        <w:tc>
          <w:tcPr>
            <w:tcW w:w="946"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三甲</w:t>
            </w:r>
          </w:p>
        </w:tc>
        <w:tc>
          <w:tcPr>
            <w:tcW w:w="845"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exact"/>
          <w:jc w:val="center"/>
        </w:trPr>
        <w:tc>
          <w:tcPr>
            <w:tcW w:w="813"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w:t>
            </w:r>
          </w:p>
        </w:tc>
        <w:tc>
          <w:tcPr>
            <w:tcW w:w="2190"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全国计算机等级考试</w:t>
            </w:r>
          </w:p>
        </w:tc>
        <w:tc>
          <w:tcPr>
            <w:tcW w:w="3762"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教育部考试中心</w:t>
            </w:r>
          </w:p>
        </w:tc>
        <w:tc>
          <w:tcPr>
            <w:tcW w:w="946"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二级</w:t>
            </w:r>
          </w:p>
        </w:tc>
        <w:tc>
          <w:tcPr>
            <w:tcW w:w="845" w:type="dxa"/>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p>
        </w:tc>
      </w:tr>
    </w:tbl>
    <w:p>
      <w:pPr>
        <w:pStyle w:val="82"/>
        <w:ind w:firstLine="560" w:firstLineChars="200"/>
        <w:outlineLvl w:val="9"/>
        <w:rPr>
          <w:rFonts w:ascii="仿宋_GB2312" w:hAnsi="仿宋_GB2312" w:eastAsia="仿宋_GB2312" w:cs="仿宋_GB2312"/>
          <w:b w:val="0"/>
          <w:color w:val="000000" w:themeColor="text1"/>
          <w:sz w:val="28"/>
          <w:szCs w:val="28"/>
          <w14:textFill>
            <w14:solidFill>
              <w14:schemeClr w14:val="tx1"/>
            </w14:solidFill>
          </w14:textFill>
        </w:rPr>
      </w:pPr>
      <w:bookmarkStart w:id="12" w:name="_Toc32008"/>
      <w:bookmarkStart w:id="13" w:name="_Toc8164"/>
      <w:r>
        <w:rPr>
          <w:rFonts w:hint="eastAsia" w:ascii="仿宋_GB2312" w:hAnsi="仿宋_GB2312" w:eastAsia="仿宋_GB2312" w:cs="仿宋_GB2312"/>
          <w:b w:val="0"/>
          <w:color w:val="000000" w:themeColor="text1"/>
          <w:sz w:val="28"/>
          <w:szCs w:val="28"/>
          <w14:textFill>
            <w14:solidFill>
              <w14:schemeClr w14:val="tx1"/>
            </w14:solidFill>
          </w14:textFill>
        </w:rPr>
        <w:t>2.本专业职业资格证书</w:t>
      </w:r>
      <w:bookmarkEnd w:id="12"/>
      <w:bookmarkEnd w:id="13"/>
      <w:r>
        <w:rPr>
          <w:rFonts w:hint="eastAsia" w:ascii="仿宋_GB2312" w:hAnsi="仿宋_GB2312" w:eastAsia="仿宋_GB2312" w:cs="仿宋_GB2312"/>
          <w:b w:val="0"/>
          <w:color w:val="FF0000"/>
          <w:sz w:val="28"/>
          <w:szCs w:val="28"/>
        </w:rPr>
        <w:t>（包括1+X证书）</w:t>
      </w:r>
    </w:p>
    <w:tbl>
      <w:tblPr>
        <w:tblStyle w:val="27"/>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16"/>
        <w:gridCol w:w="3234"/>
        <w:gridCol w:w="1540"/>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pPr>
              <w:snapToGrid w:val="0"/>
              <w:ind w:left="105" w:leftChars="5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序号</w:t>
            </w:r>
          </w:p>
        </w:tc>
        <w:tc>
          <w:tcPr>
            <w:tcW w:w="19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考核项目</w:t>
            </w:r>
          </w:p>
        </w:tc>
        <w:tc>
          <w:tcPr>
            <w:tcW w:w="32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考核发证部门</w:t>
            </w: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等级</w:t>
            </w:r>
          </w:p>
        </w:tc>
        <w:tc>
          <w:tcPr>
            <w:tcW w:w="9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846" w:type="dxa"/>
            <w:tcBorders>
              <w:top w:val="single" w:color="auto" w:sz="4" w:space="0"/>
              <w:left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1916" w:type="dxa"/>
            <w:tcBorders>
              <w:top w:val="single" w:color="auto" w:sz="4" w:space="0"/>
              <w:left w:val="single" w:color="auto" w:sz="4" w:space="0"/>
              <w:bottom w:val="single" w:color="auto" w:sz="4" w:space="0"/>
              <w:right w:val="single" w:color="auto" w:sz="4" w:space="0"/>
            </w:tcBorders>
            <w:vAlign w:val="bottom"/>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汽车维修中级工</w:t>
            </w:r>
          </w:p>
        </w:tc>
        <w:tc>
          <w:tcPr>
            <w:tcW w:w="32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人力资源和社会保障局</w:t>
            </w: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三级</w:t>
            </w:r>
          </w:p>
        </w:tc>
        <w:tc>
          <w:tcPr>
            <w:tcW w:w="995" w:type="dxa"/>
            <w:tcBorders>
              <w:top w:val="single" w:color="auto" w:sz="4" w:space="0"/>
              <w:left w:val="single" w:color="auto" w:sz="4" w:space="0"/>
              <w:bottom w:val="single" w:color="auto" w:sz="4" w:space="0"/>
              <w:right w:val="single" w:color="auto" w:sz="4" w:space="0"/>
            </w:tcBorders>
            <w:vAlign w:val="bottom"/>
          </w:tcPr>
          <w:p>
            <w:pPr>
              <w:snapToGrid w:val="0"/>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6" w:type="dxa"/>
            <w:tcBorders>
              <w:top w:val="single" w:color="auto" w:sz="4" w:space="0"/>
              <w:left w:val="single" w:color="auto" w:sz="4" w:space="0"/>
              <w:bottom w:val="single" w:color="auto" w:sz="4" w:space="0"/>
              <w:right w:val="single" w:color="auto" w:sz="4" w:space="0"/>
            </w:tcBorders>
            <w:vAlign w:val="bottom"/>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19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汽车维修高级工</w:t>
            </w:r>
          </w:p>
        </w:tc>
        <w:tc>
          <w:tcPr>
            <w:tcW w:w="32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人力资源和社会保障局</w:t>
            </w: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四级</w:t>
            </w:r>
          </w:p>
        </w:tc>
        <w:tc>
          <w:tcPr>
            <w:tcW w:w="995" w:type="dxa"/>
            <w:tcBorders>
              <w:top w:val="single" w:color="auto" w:sz="4" w:space="0"/>
              <w:left w:val="single" w:color="auto" w:sz="4" w:space="0"/>
              <w:bottom w:val="single" w:color="auto" w:sz="4" w:space="0"/>
              <w:right w:val="single" w:color="auto" w:sz="4" w:space="0"/>
            </w:tcBorders>
            <w:vAlign w:val="bottom"/>
          </w:tcPr>
          <w:p>
            <w:pPr>
              <w:snapToGrid w:val="0"/>
              <w:jc w:val="center"/>
              <w:rPr>
                <w:rFonts w:ascii="宋体" w:hAnsi="宋体" w:eastAsia="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46" w:type="dxa"/>
            <w:tcBorders>
              <w:top w:val="single" w:color="auto" w:sz="4" w:space="0"/>
              <w:left w:val="single" w:color="auto" w:sz="4" w:space="0"/>
              <w:bottom w:val="single" w:color="auto" w:sz="4" w:space="0"/>
              <w:right w:val="single" w:color="auto" w:sz="4" w:space="0"/>
            </w:tcBorders>
            <w:vAlign w:val="bottom"/>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19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特种作业操作证</w:t>
            </w:r>
          </w:p>
        </w:tc>
        <w:tc>
          <w:tcPr>
            <w:tcW w:w="32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国家安全生产监督管理总局</w:t>
            </w: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低压电工</w:t>
            </w:r>
          </w:p>
        </w:tc>
        <w:tc>
          <w:tcPr>
            <w:tcW w:w="995" w:type="dxa"/>
            <w:tcBorders>
              <w:top w:val="single" w:color="auto" w:sz="4" w:space="0"/>
              <w:left w:val="single" w:color="auto" w:sz="4" w:space="0"/>
              <w:bottom w:val="single" w:color="auto" w:sz="4" w:space="0"/>
              <w:right w:val="single" w:color="auto" w:sz="4" w:space="0"/>
            </w:tcBorders>
            <w:vAlign w:val="bottom"/>
          </w:tcPr>
          <w:p>
            <w:pPr>
              <w:snapToGrid w:val="0"/>
              <w:jc w:val="center"/>
              <w:rPr>
                <w:rFonts w:ascii="宋体" w:hAnsi="宋体" w:eastAsia="宋体" w:cs="宋体"/>
                <w:color w:val="000000" w:themeColor="text1"/>
                <w:szCs w:val="21"/>
                <w14:textFill>
                  <w14:solidFill>
                    <w14:schemeClr w14:val="tx1"/>
                  </w14:solidFill>
                </w14:textFill>
              </w:rPr>
            </w:pPr>
          </w:p>
        </w:tc>
      </w:tr>
    </w:tbl>
    <w:p>
      <w:pPr>
        <w:snapToGrid w:val="0"/>
        <w:spacing w:line="360" w:lineRule="auto"/>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（说明：学生毕业应至少获得一种通用证书和一种专业职业资格证书。）</w:t>
      </w:r>
    </w:p>
    <w:p>
      <w:pPr>
        <w:wordWrap w:val="0"/>
        <w:spacing w:line="560" w:lineRule="exact"/>
        <w:ind w:firstLine="560" w:firstLineChars="200"/>
        <w:jc w:val="left"/>
        <w:outlineLvl w:val="1"/>
        <w:rPr>
          <w:rFonts w:ascii="楷体_GB2312" w:hAnsi="楷体_GB2312" w:eastAsia="楷体_GB2312" w:cs="楷体_GB2312"/>
          <w:color w:val="000000" w:themeColor="text1"/>
          <w:sz w:val="28"/>
          <w:szCs w:val="28"/>
          <w14:textFill>
            <w14:solidFill>
              <w14:schemeClr w14:val="tx1"/>
            </w14:solidFill>
          </w14:textFill>
        </w:rPr>
      </w:pPr>
      <w:bookmarkStart w:id="14" w:name="_Toc24781"/>
      <w:r>
        <w:rPr>
          <w:rFonts w:hint="eastAsia" w:ascii="楷体_GB2312" w:hAnsi="楷体_GB2312" w:eastAsia="楷体_GB2312" w:cs="楷体_GB2312"/>
          <w:color w:val="000000" w:themeColor="text1"/>
          <w:sz w:val="28"/>
          <w:szCs w:val="28"/>
          <w14:textFill>
            <w14:solidFill>
              <w14:schemeClr w14:val="tx1"/>
            </w14:solidFill>
          </w14:textFill>
        </w:rPr>
        <w:t>（三）职业生涯发展路径</w:t>
      </w:r>
      <w:bookmarkEnd w:id="14"/>
    </w:p>
    <w:p>
      <w:pPr>
        <w:wordWrap w:val="0"/>
        <w:spacing w:line="56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4375785</wp:posOffset>
                </wp:positionH>
                <wp:positionV relativeFrom="paragraph">
                  <wp:posOffset>161290</wp:posOffset>
                </wp:positionV>
                <wp:extent cx="1282065" cy="1224915"/>
                <wp:effectExtent l="6350" t="6350" r="6985" b="6985"/>
                <wp:wrapNone/>
                <wp:docPr id="16" name="矩形 16"/>
                <wp:cNvGraphicFramePr/>
                <a:graphic xmlns:a="http://schemas.openxmlformats.org/drawingml/2006/main">
                  <a:graphicData uri="http://schemas.microsoft.com/office/word/2010/wordprocessingShape">
                    <wps:wsp>
                      <wps:cNvSpPr/>
                      <wps:spPr>
                        <a:xfrm>
                          <a:off x="0" y="0"/>
                          <a:ext cx="1282065" cy="12249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发展岗位</w:t>
                            </w:r>
                          </w:p>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（工程师）</w:t>
                            </w:r>
                          </w:p>
                          <w:p>
                            <w:pPr>
                              <w:spacing w:line="360" w:lineRule="exact"/>
                              <w:jc w:val="center"/>
                              <w:rPr>
                                <w:color w:val="002060"/>
                                <w:sz w:val="24"/>
                                <w:szCs w:val="24"/>
                              </w:rPr>
                            </w:pPr>
                            <w:r>
                              <w:rPr>
                                <w:rFonts w:hint="eastAsia"/>
                                <w:color w:val="000000" w:themeColor="text1"/>
                                <w:sz w:val="24"/>
                                <w:szCs w:val="24"/>
                                <w14:textFill>
                                  <w14:solidFill>
                                    <w14:schemeClr w14:val="tx1"/>
                                  </w14:solidFill>
                                </w14:textFill>
                              </w:rPr>
                              <w:t>（管理者）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4.55pt;margin-top:12.7pt;height:96.45pt;width:100.95pt;z-index:251663360;v-text-anchor:middle;mso-width-relative:page;mso-height-relative:page;" filled="f" stroked="t" coordsize="21600,21600" o:gfxdata="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76dOdgAAAAKAQAADwAAAAAAAAABACAAAAAiAAAAZHJzL2Rvd25yZXYueG1sUEsBAhQA&#10;FAAAAAgAh07iQC4oDFRkAgAAwgQAAA4AAAAAAAAAAQAgAAAAJwEAAGRycy9lMm9Eb2MueG1sUEsF&#10;BgAAAAAGAAYAWQEAAP0FAAAAAA==&#10;">
                <v:fill on="f" focussize="0,0"/>
                <v:stroke weight="1pt" color="#000000 [3213]" joinstyle="round"/>
                <v:imagedata o:title=""/>
                <o:lock v:ext="edit" aspectratio="f"/>
                <v:textbox>
                  <w:txbxContent>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发展岗位</w:t>
                      </w:r>
                    </w:p>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（工程师）</w:t>
                      </w:r>
                    </w:p>
                    <w:p>
                      <w:pPr>
                        <w:spacing w:line="360" w:lineRule="exact"/>
                        <w:jc w:val="center"/>
                        <w:rPr>
                          <w:color w:val="002060"/>
                          <w:sz w:val="24"/>
                          <w:szCs w:val="24"/>
                        </w:rPr>
                      </w:pPr>
                      <w:r>
                        <w:rPr>
                          <w:rFonts w:hint="eastAsia"/>
                          <w:color w:val="000000" w:themeColor="text1"/>
                          <w:sz w:val="24"/>
                          <w:szCs w:val="24"/>
                          <w14:textFill>
                            <w14:solidFill>
                              <w14:schemeClr w14:val="tx1"/>
                            </w14:solidFill>
                          </w14:textFill>
                        </w:rPr>
                        <w:t>（管理者）</w:t>
                      </w:r>
                    </w:p>
                  </w:txbxContent>
                </v:textbox>
              </v:rect>
            </w:pict>
          </mc:Fallback>
        </mc:AlternateContent>
      </w:r>
      <w:r>
        <w:rPr>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2360295</wp:posOffset>
                </wp:positionH>
                <wp:positionV relativeFrom="paragraph">
                  <wp:posOffset>161290</wp:posOffset>
                </wp:positionV>
                <wp:extent cx="1282065" cy="1215390"/>
                <wp:effectExtent l="6350" t="6350" r="6985" b="16510"/>
                <wp:wrapNone/>
                <wp:docPr id="15" name="矩形 15"/>
                <wp:cNvGraphicFramePr/>
                <a:graphic xmlns:a="http://schemas.openxmlformats.org/drawingml/2006/main">
                  <a:graphicData uri="http://schemas.microsoft.com/office/word/2010/wordprocessingShape">
                    <wps:wsp>
                      <wps:cNvSpPr/>
                      <wps:spPr>
                        <a:xfrm>
                          <a:off x="0" y="0"/>
                          <a:ext cx="1282065" cy="1215390"/>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目标岗位</w:t>
                            </w:r>
                          </w:p>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（技术员）</w:t>
                            </w:r>
                          </w:p>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（维修员）</w:t>
                            </w:r>
                          </w:p>
                          <w:p>
                            <w:pPr>
                              <w:spacing w:line="360" w:lineRule="exact"/>
                              <w:jc w:val="center"/>
                              <w:rPr>
                                <w:color w:val="002060"/>
                                <w:sz w:val="24"/>
                                <w:szCs w:val="24"/>
                              </w:rPr>
                            </w:pPr>
                            <w:r>
                              <w:rPr>
                                <w:rFonts w:hint="eastAsia"/>
                                <w:color w:val="000000" w:themeColor="text1"/>
                                <w:sz w:val="24"/>
                                <w:szCs w:val="24"/>
                                <w14:textFill>
                                  <w14:solidFill>
                                    <w14:schemeClr w14:val="tx1"/>
                                  </w14:solidFill>
                                </w14:textFill>
                              </w:rPr>
                              <w:t>（管理员）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85pt;margin-top:12.7pt;height:95.7pt;width:100.95pt;z-index:251661312;v-text-anchor:middle;mso-width-relative:page;mso-height-relative:page;" filled="f" stroked="t" coordsize="21600,21600" o:gfxdata="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pgoftkAAAAKAQAADwAAAAAAAAABACAAAAAiAAAAZHJzL2Rvd25yZXYueG1sUEsBAhQA&#10;FAAAAAgAh07iQPYtvwBjAgAAwgQAAA4AAAAAAAAAAQAgAAAAKAEAAGRycy9lMm9Eb2MueG1sUEsF&#10;BgAAAAAGAAYAWQEAAP0FAAAAAA==&#10;">
                <v:fill on="f" focussize="0,0"/>
                <v:stroke weight="1pt" color="#000000 [3213]" joinstyle="round"/>
                <v:imagedata o:title=""/>
                <o:lock v:ext="edit" aspectratio="f"/>
                <v:textbox>
                  <w:txbxContent>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目标岗位</w:t>
                      </w:r>
                    </w:p>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（技术员）</w:t>
                      </w:r>
                    </w:p>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（维修员）</w:t>
                      </w:r>
                    </w:p>
                    <w:p>
                      <w:pPr>
                        <w:spacing w:line="360" w:lineRule="exact"/>
                        <w:jc w:val="center"/>
                        <w:rPr>
                          <w:color w:val="002060"/>
                          <w:sz w:val="24"/>
                          <w:szCs w:val="24"/>
                        </w:rPr>
                      </w:pPr>
                      <w:r>
                        <w:rPr>
                          <w:rFonts w:hint="eastAsia"/>
                          <w:color w:val="000000" w:themeColor="text1"/>
                          <w:sz w:val="24"/>
                          <w:szCs w:val="24"/>
                          <w14:textFill>
                            <w14:solidFill>
                              <w14:schemeClr w14:val="tx1"/>
                            </w14:solidFill>
                          </w14:textFill>
                        </w:rPr>
                        <w:t>（管理员）</w:t>
                      </w:r>
                    </w:p>
                  </w:txbxContent>
                </v:textbox>
              </v:rect>
            </w:pict>
          </mc:Fallback>
        </mc:AlternateContent>
      </w:r>
      <w:r>
        <w:rPr>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161290</wp:posOffset>
                </wp:positionV>
                <wp:extent cx="1282065" cy="1224915"/>
                <wp:effectExtent l="6350" t="6350" r="6985" b="6985"/>
                <wp:wrapNone/>
                <wp:docPr id="14" name="矩形 14"/>
                <wp:cNvGraphicFramePr/>
                <a:graphic xmlns:a="http://schemas.openxmlformats.org/drawingml/2006/main">
                  <a:graphicData uri="http://schemas.microsoft.com/office/word/2010/wordprocessingShape">
                    <wps:wsp>
                      <wps:cNvSpPr/>
                      <wps:spPr>
                        <a:xfrm>
                          <a:off x="1350645" y="8016240"/>
                          <a:ext cx="1282065" cy="1224915"/>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初始岗位</w:t>
                            </w:r>
                          </w:p>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（装配工）</w:t>
                            </w:r>
                          </w:p>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（维修工）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pt;margin-top:12.7pt;height:96.45pt;width:100.95pt;z-index:251660288;v-text-anchor:middle;mso-width-relative:page;mso-height-relative:page;" filled="f" stroked="t" coordsize="21600,21600" o:gfxdata="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9ZLlK9gAAAAJAQAADwAAAAAAAAABACAAAAAiAAAAZHJzL2Rvd25y&#10;ZXYueG1sUEsBAhQAFAAAAAgAh07iQPRRWPBwAgAAzgQAAA4AAAAAAAAAAQAgAAAAJwEAAGRycy9l&#10;Mm9Eb2MueG1sUEsFBgAAAAAGAAYAWQEAAAkGAAAAAA==&#10;">
                <v:fill on="f" focussize="0,0"/>
                <v:stroke weight="1pt" color="#000000 [3213]" joinstyle="round"/>
                <v:imagedata o:title=""/>
                <o:lock v:ext="edit" aspectratio="f"/>
                <v:textbox>
                  <w:txbxContent>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初始岗位</w:t>
                      </w:r>
                    </w:p>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（装配工）</w:t>
                      </w:r>
                    </w:p>
                    <w:p>
                      <w:pPr>
                        <w:spacing w:line="360" w:lineRule="exact"/>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（维修工）</w:t>
                      </w:r>
                    </w:p>
                  </w:txbxContent>
                </v:textbox>
              </v:rect>
            </w:pict>
          </mc:Fallback>
        </mc:AlternateContent>
      </w:r>
    </w:p>
    <w:p>
      <w:pPr>
        <w:wordWrap w:val="0"/>
        <w:spacing w:line="56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3651885</wp:posOffset>
                </wp:positionH>
                <wp:positionV relativeFrom="paragraph">
                  <wp:posOffset>314325</wp:posOffset>
                </wp:positionV>
                <wp:extent cx="700405" cy="194945"/>
                <wp:effectExtent l="4445" t="4445" r="19050" b="10160"/>
                <wp:wrapNone/>
                <wp:docPr id="19" name="燕尾形 19"/>
                <wp:cNvGraphicFramePr/>
                <a:graphic xmlns:a="http://schemas.openxmlformats.org/drawingml/2006/main">
                  <a:graphicData uri="http://schemas.microsoft.com/office/word/2010/wordprocessingShape">
                    <wps:wsp>
                      <wps:cNvSpPr/>
                      <wps:spPr>
                        <a:xfrm>
                          <a:off x="0" y="0"/>
                          <a:ext cx="700405" cy="194945"/>
                        </a:xfrm>
                        <a:prstGeom prst="chevr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5" type="#_x0000_t55" style="position:absolute;left:0pt;margin-left:287.55pt;margin-top:24.75pt;height:15.35pt;width:55.15pt;z-index:251666432;v-text-anchor:middle;mso-width-relative:page;mso-height-relative:page;" filled="f" stroked="t" coordsize="21600,21600" o:gfxdata="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H67nrZAAAACQEAAA8AAAAAAAAAAQAgAAAAIgAAAGRycy9kb3ducmV2LnhtbFBLAQIU&#10;ABQAAAAIAIdO4kDsdJ9hZAIAALoEAAAOAAAAAAAAAAEAIAAAACgBAABkcnMvZTJvRG9jLnhtbFBL&#10;BQYAAAAABgAGAFkBAAD+BQAAAAA=&#10;" adj="18595">
                <v:fill on="f" focussize="0,0"/>
                <v:stroke color="#000000 [3213]" joinstyle="round"/>
                <v:imagedata o:title=""/>
                <o:lock v:ext="edit" aspectratio="f"/>
              </v:shape>
            </w:pict>
          </mc:Fallback>
        </mc:AlternateContent>
      </w:r>
      <w:r>
        <w:rPr>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1642745</wp:posOffset>
                </wp:positionH>
                <wp:positionV relativeFrom="paragraph">
                  <wp:posOffset>314325</wp:posOffset>
                </wp:positionV>
                <wp:extent cx="700405" cy="222250"/>
                <wp:effectExtent l="4445" t="5080" r="19050" b="20320"/>
                <wp:wrapNone/>
                <wp:docPr id="18" name="燕尾形 18"/>
                <wp:cNvGraphicFramePr/>
                <a:graphic xmlns:a="http://schemas.openxmlformats.org/drawingml/2006/main">
                  <a:graphicData uri="http://schemas.microsoft.com/office/word/2010/wordprocessingShape">
                    <wps:wsp>
                      <wps:cNvSpPr/>
                      <wps:spPr>
                        <a:xfrm>
                          <a:off x="2675890" y="8524875"/>
                          <a:ext cx="700405" cy="222250"/>
                        </a:xfrm>
                        <a:prstGeom prst="chevron">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5" type="#_x0000_t55" style="position:absolute;left:0pt;margin-left:129.35pt;margin-top:24.75pt;height:17.5pt;width:55.15pt;z-index:251664384;v-text-anchor:middle;mso-width-relative:page;mso-height-relative:page;" filled="f" stroked="t" coordsize="21600,21600" o:gfxdata="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DMK9TbAAAACQEAAA8AAAAAAAAAAQAgAAAAIgAAAGRycy9k&#10;b3ducmV2LnhtbFBLAQIUABQAAAAIAIdO4kArUAN3cQIAAMYEAAAOAAAAAAAAAAEAIAAAACoBAABk&#10;cnMvZTJvRG9jLnhtbFBLBQYAAAAABgAGAFkBAAANBgAAAAA=&#10;" adj="18173">
                <v:fill on="f" focussize="0,0"/>
                <v:stroke color="#000000 [3213]" joinstyle="round"/>
                <v:imagedata o:title=""/>
                <o:lock v:ext="edit" aspectratio="f"/>
              </v:shape>
            </w:pict>
          </mc:Fallback>
        </mc:AlternateContent>
      </w:r>
    </w:p>
    <w:p>
      <w:pPr>
        <w:wordWrap w:val="0"/>
        <w:spacing w:line="56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p>
    <w:p>
      <w:pPr>
        <w:wordWrap w:val="0"/>
        <w:spacing w:line="56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p>
    <w:p>
      <w:pPr>
        <w:wordWrap w:val="0"/>
        <w:spacing w:line="480" w:lineRule="exact"/>
        <w:ind w:firstLine="560" w:firstLineChars="200"/>
        <w:jc w:val="left"/>
        <w:outlineLvl w:val="0"/>
        <w:rPr>
          <w:rFonts w:ascii="黑体" w:hAnsi="黑体" w:eastAsia="黑体" w:cs="黑体"/>
          <w:bCs/>
          <w:color w:val="000000" w:themeColor="text1"/>
          <w:sz w:val="28"/>
          <w:szCs w:val="28"/>
          <w14:textFill>
            <w14:solidFill>
              <w14:schemeClr w14:val="tx1"/>
            </w14:solidFill>
          </w14:textFill>
        </w:rPr>
      </w:pPr>
      <w:bookmarkStart w:id="15" w:name="_Toc7860"/>
      <w:r>
        <w:rPr>
          <w:rFonts w:hint="eastAsia" w:ascii="黑体" w:hAnsi="黑体" w:eastAsia="黑体" w:cs="黑体"/>
          <w:bCs/>
          <w:color w:val="000000" w:themeColor="text1"/>
          <w:sz w:val="28"/>
          <w:szCs w:val="28"/>
          <w14:textFill>
            <w14:solidFill>
              <w14:schemeClr w14:val="tx1"/>
            </w14:solidFill>
          </w14:textFill>
        </w:rPr>
        <w:t>五、培养目标与规格</w:t>
      </w:r>
      <w:bookmarkEnd w:id="15"/>
    </w:p>
    <w:p>
      <w:pPr>
        <w:pStyle w:val="80"/>
        <w:spacing w:line="480" w:lineRule="exact"/>
        <w:ind w:firstLine="560" w:firstLineChars="200"/>
        <w:outlineLvl w:val="1"/>
        <w:rPr>
          <w:rFonts w:ascii="楷体_GB2312" w:hAnsi="楷体_GB2312" w:eastAsia="楷体_GB2312" w:cs="楷体_GB2312"/>
          <w:b w:val="0"/>
          <w:bCs/>
          <w:color w:val="000000" w:themeColor="text1"/>
          <w:sz w:val="28"/>
          <w:szCs w:val="28"/>
          <w14:textFill>
            <w14:solidFill>
              <w14:schemeClr w14:val="tx1"/>
            </w14:solidFill>
          </w14:textFill>
        </w:rPr>
      </w:pPr>
      <w:bookmarkStart w:id="16" w:name="_Toc38201834"/>
      <w:bookmarkStart w:id="17" w:name="_Toc38299247"/>
      <w:bookmarkStart w:id="18" w:name="_Toc31453"/>
      <w:bookmarkStart w:id="19" w:name="_Toc38201837"/>
      <w:bookmarkStart w:id="20" w:name="_Toc38299250"/>
      <w:r>
        <w:rPr>
          <w:rFonts w:hint="eastAsia" w:ascii="楷体_GB2312" w:hAnsi="楷体_GB2312" w:eastAsia="楷体_GB2312" w:cs="楷体_GB2312"/>
          <w:b w:val="0"/>
          <w:bCs/>
          <w:color w:val="000000" w:themeColor="text1"/>
          <w:sz w:val="28"/>
          <w:szCs w:val="28"/>
          <w14:textFill>
            <w14:solidFill>
              <w14:schemeClr w14:val="tx1"/>
            </w14:solidFill>
          </w14:textFill>
        </w:rPr>
        <w:t>（一）培养目标</w:t>
      </w:r>
      <w:bookmarkEnd w:id="16"/>
      <w:bookmarkEnd w:id="17"/>
      <w:bookmarkEnd w:id="18"/>
    </w:p>
    <w:p>
      <w:pPr>
        <w:widowControl/>
        <w:spacing w:line="480" w:lineRule="exact"/>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bookmarkStart w:id="21" w:name="_Toc38299248"/>
      <w:bookmarkStart w:id="22" w:name="_Toc38201835"/>
      <w:r>
        <w:rPr>
          <w:rFonts w:hint="eastAsia" w:ascii="仿宋_GB2312" w:hAnsi="仿宋_GB2312" w:eastAsia="仿宋_GB2312" w:cs="仿宋_GB2312"/>
          <w:color w:val="000000" w:themeColor="text1"/>
          <w:kern w:val="0"/>
          <w:sz w:val="28"/>
          <w:szCs w:val="28"/>
          <w14:textFill>
            <w14:solidFill>
              <w14:schemeClr w14:val="tx1"/>
            </w14:solidFill>
          </w14:textFill>
        </w:rPr>
        <w:t>本专业培养理想信念坚定，德、智、体、美、劳全面发展，具有一定的科学文化水平，良好的人文素养、职业道德和创新精神，精益求精的工匠精神，较强的就业能力和可持续发展的能力，掌握本专业知识和技术技能，面向汽车修理与维护行业的汽车运用工程技术人员、汽车维修工等职业群（或技术能力领域），能够从事汽车维护、汽车机电维修、汽车服务顾问、汽车检测、配件管理、二手车鉴定评估、事故车查勘定损等工作，具有职业发展能力的高素质技术技能人才。</w:t>
      </w:r>
    </w:p>
    <w:p>
      <w:pPr>
        <w:pStyle w:val="80"/>
        <w:spacing w:line="480" w:lineRule="exact"/>
        <w:ind w:firstLine="560" w:firstLineChars="200"/>
        <w:outlineLvl w:val="1"/>
        <w:rPr>
          <w:rFonts w:ascii="楷体" w:hAnsi="楷体" w:eastAsia="楷体" w:cs="楷体"/>
          <w:b w:val="0"/>
          <w:bCs/>
          <w:color w:val="000000" w:themeColor="text1"/>
          <w:sz w:val="28"/>
          <w:szCs w:val="28"/>
          <w14:textFill>
            <w14:solidFill>
              <w14:schemeClr w14:val="tx1"/>
            </w14:solidFill>
          </w14:textFill>
        </w:rPr>
      </w:pPr>
      <w:bookmarkStart w:id="23" w:name="_Toc20435"/>
      <w:r>
        <w:rPr>
          <w:rFonts w:hint="eastAsia" w:ascii="楷体" w:hAnsi="楷体" w:eastAsia="楷体" w:cs="楷体"/>
          <w:b w:val="0"/>
          <w:bCs/>
          <w:color w:val="000000" w:themeColor="text1"/>
          <w:sz w:val="28"/>
          <w:szCs w:val="28"/>
          <w14:textFill>
            <w14:solidFill>
              <w14:schemeClr w14:val="tx1"/>
            </w14:solidFill>
          </w14:textFill>
        </w:rPr>
        <w:t>（二）培养规格</w:t>
      </w:r>
      <w:bookmarkEnd w:id="21"/>
      <w:bookmarkEnd w:id="22"/>
      <w:bookmarkEnd w:id="23"/>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本专业毕业生应在素质、知识和能力等方面达到以下要求。</w:t>
      </w:r>
    </w:p>
    <w:p>
      <w:pPr>
        <w:snapToGrid w:val="0"/>
        <w:spacing w:line="480" w:lineRule="exact"/>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1.基本素质</w:t>
      </w:r>
    </w:p>
    <w:p>
      <w:pPr>
        <w:snapToGrid w:val="0"/>
        <w:spacing w:line="480" w:lineRule="exact"/>
        <w:ind w:firstLine="560"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（1）政治思想素质：</w:t>
      </w:r>
      <w:r>
        <w:rPr>
          <w:rFonts w:hint="eastAsia" w:ascii="仿宋_GB2312" w:hAnsi="仿宋_GB2312" w:eastAsia="仿宋_GB2312" w:cs="仿宋_GB2312"/>
          <w:color w:val="000000" w:themeColor="text1"/>
          <w:sz w:val="28"/>
          <w:szCs w:val="28"/>
          <w14:textFill>
            <w14:solidFill>
              <w14:schemeClr w14:val="tx1"/>
            </w14:solidFill>
          </w14:textFill>
        </w:rPr>
        <w:t>坚定拥护中国共产党领导和中国特色社会主义制度，在习近平新时代中国特色社会主义思想指引下，践行社会主义核心价值观，具有深厚的爱国情感和中华民族自豪感。崇尚宪法、遵纪守法、崇德向善、诚实守信、尊重生命、热爱劳动，履行道德准则和行为规范，具有社会责任感和社会参与意识。</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（2）文化素质：</w:t>
      </w:r>
      <w:r>
        <w:rPr>
          <w:rFonts w:hint="eastAsia" w:ascii="仿宋_GB2312" w:hAnsi="仿宋_GB2312" w:eastAsia="仿宋_GB2312" w:cs="仿宋_GB2312"/>
          <w:color w:val="000000" w:themeColor="text1"/>
          <w:sz w:val="28"/>
          <w:szCs w:val="28"/>
          <w14:textFill>
            <w14:solidFill>
              <w14:schemeClr w14:val="tx1"/>
            </w14:solidFill>
          </w14:textFill>
        </w:rPr>
        <w:t>具有较为宽阔的视野，文理交融。具有一定的科学思维和科学探索精神，具备一定的文化素养和文学功底，具备健康、高雅的审美情趣和正确的审美观点、较强的审美能力。</w:t>
      </w:r>
    </w:p>
    <w:p>
      <w:pPr>
        <w:snapToGrid w:val="0"/>
        <w:spacing w:line="480" w:lineRule="exact"/>
        <w:ind w:firstLine="560"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（3）身体和心理素质：</w:t>
      </w:r>
      <w:r>
        <w:rPr>
          <w:rFonts w:hint="eastAsia" w:ascii="仿宋_GB2312" w:hAnsi="仿宋_GB2312" w:eastAsia="仿宋_GB2312" w:cs="仿宋_GB2312"/>
          <w:color w:val="000000" w:themeColor="text1"/>
          <w:sz w:val="28"/>
          <w:szCs w:val="28"/>
          <w14:textFill>
            <w14:solidFill>
              <w14:schemeClr w14:val="tx1"/>
            </w14:solidFill>
          </w14:textFill>
        </w:rPr>
        <w:t>具有健康的体魄、心理和健全的人格，养成良好的健身与卫生习惯，以及良好的行为习惯。</w:t>
      </w:r>
    </w:p>
    <w:p>
      <w:pPr>
        <w:snapToGrid w:val="0"/>
        <w:spacing w:line="480" w:lineRule="exact"/>
        <w:ind w:firstLine="560"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（4）专业素质：</w:t>
      </w:r>
      <w:r>
        <w:rPr>
          <w:rFonts w:hint="eastAsia" w:ascii="仿宋_GB2312" w:hAnsi="仿宋_GB2312" w:eastAsia="仿宋_GB2312" w:cs="仿宋_GB2312"/>
          <w:color w:val="000000" w:themeColor="text1"/>
          <w:sz w:val="28"/>
          <w:szCs w:val="28"/>
          <w14:textFill>
            <w14:solidFill>
              <w14:schemeClr w14:val="tx1"/>
            </w14:solidFill>
          </w14:textFill>
        </w:rPr>
        <w:t>具有良好的职业道德和敬业精神，做到吃苦耐劳、踏实肯干。树立诚实守信意识和责任意识，有良好的社会责任感和使命感。能够严格遵守职业规范及操作规程，具有较强的安全和环保意识。</w:t>
      </w:r>
    </w:p>
    <w:p>
      <w:pPr>
        <w:snapToGrid w:val="0"/>
        <w:spacing w:line="480" w:lineRule="exact"/>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2.知识要求</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（1）掌握必备的思想政治理论、科学文化基础知识和中华优秀传统文化知识。</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（2）熟悉与本专业相关的法律法规以及环境保护、安全消防等知识。</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（3）熟悉汽车电路图的组成要素。</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（4）掌握汽车构造及工作原理。</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（5）掌握汽车电器电路的检查方法。</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（6）掌握传感器输出信号的分析方法和执行器驱动信号的分析方法。</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（7）掌握汽车检测工具和设备的选择、维护与操作规程。</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（8）掌握汽车及其零部件的养护、拆装及调试方法。</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（9）掌握整车故障检测分析与排除相关知识。</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）掌握汽车典型故障案例编写的方法。</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11</w:t>
      </w:r>
      <w:r>
        <w:rPr>
          <w:rFonts w:hint="eastAsia" w:ascii="仿宋_GB2312" w:hAnsi="仿宋_GB2312" w:eastAsia="仿宋_GB2312" w:cs="仿宋_GB2312"/>
          <w:color w:val="000000" w:themeColor="text1"/>
          <w:sz w:val="28"/>
          <w:szCs w:val="28"/>
          <w14:textFill>
            <w14:solidFill>
              <w14:schemeClr w14:val="tx1"/>
            </w14:solidFill>
          </w14:textFill>
        </w:rPr>
        <w:t>）了解制造与维修企业管理等相关知识。</w:t>
      </w:r>
    </w:p>
    <w:p>
      <w:pPr>
        <w:snapToGrid w:val="0"/>
        <w:spacing w:line="480" w:lineRule="exact"/>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3.能力要求</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（1）具备参照国际标准、国家质量标准和汽车制造商质量规定进行汽车维护保养的能力。</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（2）具备参照国际标准、国家质量标准和汽车制造商质量规定对车辆及各系统总成部件的拆卸、标记与装配能力。。</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（3）具备参照国家质量标准、国际标准和汽车制造商质量规定进行车辆及各系统总成部件的常规测试与质量检查的能力。</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（4）具备熟练操作汽车装配、检测与使用设备、仪器及工具的能力。</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（5）具备车辆及总成系统的检测、排故能力。</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（6）具备与客户技术交流、处理客户委托、车间管理的能力。</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（7）具备工作计划、组织、实施和评估的能力。</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（8）具备较强的团队合作意识。</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（9）能够查阅专业外文资料。</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）)能够使用计算机进行办公自动化及信息处理，使用汽车检测与维修方面的相关软件。</w:t>
      </w:r>
    </w:p>
    <w:p>
      <w:pPr>
        <w:snapToGrid w:val="0"/>
        <w:spacing w:line="480" w:lineRule="exact"/>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4.职业态度</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（1）职业道德：增强学生的诚信品质、敬业精神、责任意识和遵纪守法意识，不谋私利、公道正派、廉洁自律、坚持原则。</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（2）职业行为：严格执行相关职业岗位标准和安全操作规程。能严格遵守企业相关管理制度，养成吃苦耐劳、乐于奉献的职业品质。</w:t>
      </w:r>
    </w:p>
    <w:p>
      <w:pPr>
        <w:snapToGrid w:val="0"/>
        <w:spacing w:line="480" w:lineRule="exact"/>
        <w:ind w:firstLine="560" w:firstLineChars="200"/>
        <w:outlineLvl w:val="1"/>
        <w:rPr>
          <w:rFonts w:ascii="楷体" w:hAnsi="楷体" w:eastAsia="楷体" w:cs="楷体"/>
          <w:bCs/>
          <w:color w:val="000000" w:themeColor="text1"/>
          <w:sz w:val="28"/>
          <w:szCs w:val="28"/>
          <w14:textFill>
            <w14:solidFill>
              <w14:schemeClr w14:val="tx1"/>
            </w14:solidFill>
          </w14:textFill>
        </w:rPr>
      </w:pPr>
      <w:bookmarkStart w:id="24" w:name="_Toc9617"/>
      <w:r>
        <w:rPr>
          <w:rFonts w:hint="eastAsia" w:ascii="楷体" w:hAnsi="楷体" w:eastAsia="楷体" w:cs="楷体"/>
          <w:bCs/>
          <w:color w:val="000000" w:themeColor="text1"/>
          <w:sz w:val="28"/>
          <w:szCs w:val="28"/>
          <w14:textFill>
            <w14:solidFill>
              <w14:schemeClr w14:val="tx1"/>
            </w14:solidFill>
          </w14:textFill>
        </w:rPr>
        <w:t>（三）创新创业能力的培养</w:t>
      </w:r>
      <w:bookmarkEnd w:id="24"/>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转变观念，培养创新创业意识：通过学校的教育活动，充分挖掘大学生丰富的创造潜能，增强学生的自信心，并使之以全新的观念审视自己，意识到自己所拥有的丰富创造力,并深刻感受到创造可以体现在自己的学习、工作、生活等各个方面。</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2.改革教育理念，实现由就业型人才培养目标向创业型人才培养目标的转变。改进教学方法，从以传授知识为中心转变为以培养学生创新能力为中心，以人为本，构建创新人才培养的教育模式。</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3.组织各类竞赛及学术讲座，协调大学生的个性发展，促进大学生在创新创业方面得以充分发挥个人才能。</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建立健全激励机制：为激励大学生创新创业热情，学校应从多方面营造创新型校园文化，通过创新文化潜移默化地影响学生，逐步内化为学生的素质，增强学生的求知欲望．从而激发学生的创新思维，提高学生的创新能力。同时，奖励在创新创业方面有突出贡献的学生。</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pStyle w:val="35"/>
        <w:spacing w:line="520" w:lineRule="exact"/>
        <w:ind w:left="319" w:leftChars="152" w:firstLine="281" w:firstLineChars="100"/>
        <w:rPr>
          <w:rFonts w:ascii="黑体" w:hAnsi="黑体" w:eastAsia="黑体" w:cs="黑体"/>
          <w:color w:val="000000" w:themeColor="text1"/>
          <w14:textFill>
            <w14:solidFill>
              <w14:schemeClr w14:val="tx1"/>
            </w14:solidFill>
          </w14:textFill>
        </w:rPr>
      </w:pPr>
      <w:bookmarkStart w:id="25" w:name="_Toc13220"/>
      <w:r>
        <w:rPr>
          <w:rFonts w:hint="eastAsia" w:ascii="黑体" w:hAnsi="黑体" w:eastAsia="黑体" w:cs="黑体"/>
          <w:color w:val="000000" w:themeColor="text1"/>
          <w14:textFill>
            <w14:solidFill>
              <w14:schemeClr w14:val="tx1"/>
            </w14:solidFill>
          </w14:textFill>
        </w:rPr>
        <w:t>六、课程设置及要求</w:t>
      </w:r>
      <w:bookmarkEnd w:id="19"/>
      <w:bookmarkEnd w:id="20"/>
      <w:bookmarkEnd w:id="25"/>
      <w:r>
        <w:rPr>
          <w:rFonts w:hint="eastAsia" w:ascii="黑体" w:hAnsi="黑体" w:eastAsia="黑体" w:cs="黑体"/>
          <w:color w:val="000000" w:themeColor="text1"/>
          <w14:textFill>
            <w14:solidFill>
              <w14:schemeClr w14:val="tx1"/>
            </w14:solidFill>
          </w14:textFill>
        </w:rPr>
        <w:t xml:space="preserve"> </w:t>
      </w:r>
    </w:p>
    <w:p>
      <w:pPr>
        <w:pStyle w:val="80"/>
        <w:spacing w:line="520" w:lineRule="exact"/>
        <w:ind w:firstLine="560" w:firstLineChars="200"/>
        <w:outlineLvl w:val="9"/>
        <w:rPr>
          <w:rFonts w:ascii="楷体_GB2312" w:hAnsi="楷体_GB2312" w:eastAsia="楷体_GB2312" w:cs="楷体_GB2312"/>
          <w:b w:val="0"/>
          <w:bCs/>
          <w:color w:val="000000" w:themeColor="text1"/>
          <w:sz w:val="28"/>
          <w:szCs w:val="28"/>
          <w14:textFill>
            <w14:solidFill>
              <w14:schemeClr w14:val="tx1"/>
            </w14:solidFill>
          </w14:textFill>
        </w:rPr>
      </w:pPr>
      <w:bookmarkStart w:id="26" w:name="_Toc38201838"/>
      <w:bookmarkStart w:id="27" w:name="_Toc38299251"/>
      <w:bookmarkStart w:id="28" w:name="_Toc29687"/>
      <w:r>
        <w:rPr>
          <w:rFonts w:hint="eastAsia" w:ascii="楷体_GB2312" w:hAnsi="楷体_GB2312" w:eastAsia="楷体_GB2312" w:cs="楷体_GB2312"/>
          <w:b w:val="0"/>
          <w:bCs/>
          <w:color w:val="000000" w:themeColor="text1"/>
          <w:sz w:val="28"/>
          <w:szCs w:val="28"/>
          <w14:textFill>
            <w14:solidFill>
              <w14:schemeClr w14:val="tx1"/>
            </w14:solidFill>
          </w14:textFill>
        </w:rPr>
        <w:t>（一）本专业公共基础课设置</w:t>
      </w:r>
      <w:bookmarkEnd w:id="26"/>
      <w:bookmarkEnd w:id="27"/>
      <w:bookmarkEnd w:id="28"/>
    </w:p>
    <w:tbl>
      <w:tblPr>
        <w:tblStyle w:val="27"/>
        <w:tblW w:w="9308" w:type="dxa"/>
        <w:tblInd w:w="-3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000"/>
        <w:gridCol w:w="3834"/>
        <w:gridCol w:w="4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46" w:type="dxa"/>
            <w:vAlign w:val="center"/>
          </w:tcPr>
          <w:p>
            <w:pPr>
              <w:snapToGrid w:val="0"/>
              <w:jc w:val="center"/>
              <w:rPr>
                <w:rFonts w:ascii="宋体" w:hAnsi="宋体" w:eastAsia="宋体" w:cs="宋体"/>
                <w:szCs w:val="21"/>
              </w:rPr>
            </w:pPr>
            <w:r>
              <w:rPr>
                <w:rFonts w:hint="eastAsia" w:ascii="宋体" w:hAnsi="宋体" w:eastAsia="宋体" w:cs="宋体"/>
                <w:szCs w:val="21"/>
              </w:rPr>
              <w:t>序号</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课程名称</w:t>
            </w:r>
          </w:p>
        </w:tc>
        <w:tc>
          <w:tcPr>
            <w:tcW w:w="3834" w:type="dxa"/>
            <w:vAlign w:val="center"/>
          </w:tcPr>
          <w:p>
            <w:pPr>
              <w:snapToGrid w:val="0"/>
              <w:jc w:val="center"/>
              <w:rPr>
                <w:rFonts w:ascii="宋体" w:hAnsi="宋体" w:eastAsia="宋体" w:cs="宋体"/>
                <w:szCs w:val="21"/>
              </w:rPr>
            </w:pPr>
            <w:r>
              <w:rPr>
                <w:rFonts w:hint="eastAsia" w:ascii="宋体" w:hAnsi="宋体" w:eastAsia="宋体" w:cs="宋体"/>
                <w:szCs w:val="21"/>
              </w:rPr>
              <w:t>课程目标</w:t>
            </w:r>
          </w:p>
        </w:tc>
        <w:tc>
          <w:tcPr>
            <w:tcW w:w="4028" w:type="dxa"/>
            <w:vAlign w:val="center"/>
          </w:tcPr>
          <w:p>
            <w:pPr>
              <w:snapToGrid w:val="0"/>
              <w:jc w:val="center"/>
              <w:rPr>
                <w:rFonts w:ascii="宋体" w:hAnsi="宋体" w:eastAsia="宋体" w:cs="宋体"/>
                <w:szCs w:val="21"/>
              </w:rPr>
            </w:pPr>
            <w:r>
              <w:rPr>
                <w:rFonts w:hint="eastAsia" w:ascii="宋体" w:hAnsi="宋体" w:eastAsia="宋体" w:cs="宋体"/>
                <w:szCs w:val="21"/>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szCs w:val="21"/>
              </w:rPr>
            </w:pPr>
            <w:r>
              <w:rPr>
                <w:rFonts w:hint="eastAsia" w:ascii="宋体" w:hAnsi="宋体" w:eastAsia="宋体" w:cs="宋体"/>
                <w:color w:val="404040"/>
                <w:szCs w:val="21"/>
                <w:shd w:val="clear" w:color="000000" w:fill="FFFFFF"/>
              </w:rPr>
              <w:t>1</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形势与政策</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帮助学生掌握全面思考、理性分析时事热点的方法和技巧，培养学生应对时政热点的理性思维。解决学生在面对错误思潮和不良宣传时容易出现的思想困惑、立场不稳等政治素质问题，使他们自觉抵制各种不良思潮和言论的影响，在思想上与党中央保持高度一致。</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帮助大学生正确认识新时代国内外形势，深刻领会党的十八大以来党和国家事业取得的历史性成就、发生的历史性变革、面临的历史性机遇和挑战。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szCs w:val="21"/>
              </w:rPr>
            </w:pPr>
            <w:r>
              <w:rPr>
                <w:rFonts w:hint="eastAsia" w:ascii="宋体" w:hAnsi="宋体" w:eastAsia="宋体" w:cs="宋体"/>
                <w:color w:val="404040"/>
                <w:szCs w:val="21"/>
                <w:shd w:val="clear" w:color="000000" w:fill="FFFFFF"/>
              </w:rPr>
              <w:t>2</w:t>
            </w:r>
          </w:p>
        </w:tc>
        <w:tc>
          <w:tcPr>
            <w:tcW w:w="1000" w:type="dxa"/>
            <w:vAlign w:val="center"/>
          </w:tcPr>
          <w:p>
            <w:pPr>
              <w:snapToGrid w:val="0"/>
              <w:jc w:val="center"/>
              <w:rPr>
                <w:rFonts w:ascii="宋体" w:hAnsi="宋体" w:eastAsia="宋体" w:cs="宋体"/>
                <w:szCs w:val="21"/>
                <w:shd w:val="clear" w:color="000000" w:fill="FFFFFF"/>
              </w:rPr>
            </w:pPr>
            <w:r>
              <w:rPr>
                <w:rFonts w:hint="eastAsia" w:ascii="宋体" w:hAnsi="宋体" w:eastAsia="宋体" w:cs="宋体"/>
                <w:szCs w:val="21"/>
              </w:rPr>
              <w:t>军训</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本课程是加强大学生思想政治教育，提高大学生素质的重要措施。同时也增强学生国防观念和国家安全意识，提高思想觉悟，激发爱国热情，培养吃苦耐劳的精神，强化爱国主义、集体主义观念。</w:t>
            </w:r>
          </w:p>
        </w:tc>
        <w:tc>
          <w:tcPr>
            <w:tcW w:w="4028" w:type="dxa"/>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大学生军训课程使每名同学掌握单个军人队列动作要领。养成良好的素质和优良作风。课程内容包括: 1.单个军人队列动作（立正、稍息、跨立；停止间转法；行进与立定；步法变换；坐下，蹲下，起立）。2.整理内务卫生。3.紧急集合和疏散4.红歌学唱。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3</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军事</w:t>
            </w:r>
          </w:p>
          <w:p>
            <w:pPr>
              <w:snapToGrid w:val="0"/>
              <w:jc w:val="center"/>
              <w:rPr>
                <w:rFonts w:ascii="宋体" w:hAnsi="宋体" w:eastAsia="宋体" w:cs="宋体"/>
                <w:szCs w:val="21"/>
              </w:rPr>
            </w:pPr>
            <w:r>
              <w:rPr>
                <w:rFonts w:hint="eastAsia" w:ascii="宋体" w:hAnsi="宋体" w:eastAsia="宋体" w:cs="宋体"/>
                <w:szCs w:val="21"/>
              </w:rPr>
              <w:t>理论</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lang w:val="zh-TW" w:eastAsia="zh-TW"/>
              </w:rPr>
              <w:t>军事</w:t>
            </w:r>
            <w:r>
              <w:rPr>
                <w:rFonts w:hint="eastAsia" w:ascii="宋体" w:hAnsi="宋体" w:eastAsia="宋体" w:cs="宋体"/>
                <w:szCs w:val="21"/>
              </w:rPr>
              <w:t>理论</w:t>
            </w:r>
            <w:r>
              <w:rPr>
                <w:rFonts w:hint="eastAsia" w:ascii="宋体" w:hAnsi="宋体" w:eastAsia="宋体" w:cs="宋体"/>
                <w:szCs w:val="21"/>
                <w:lang w:val="zh-TW" w:eastAsia="zh-TW"/>
              </w:rPr>
              <w:t>课程以国防教育为主线，通过军事教学，使大学生掌握基本军事理论与军事技能，达到增强国防观念和国家安全意识，强化爱国主义、集体主义观念，加强组织纪律性，促进大学生综合素质的提高，为中国人民解放军训练后备兵员和培养预备役军官打下坚实基础。</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lang w:val="zh-TW" w:eastAsia="zh-TW"/>
              </w:rPr>
              <w:t>军事课教学，让学生了解掌握军事基础知识和基本军事技能，增强国防观念、国家安全意识和忧患危机意识，弘扬爱国主义精神、传承红色基因、提高学生综合国防素质。要保证课堂出勤率，必须参加考试，没有成绩或成绩不合格的需要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4</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劳动</w:t>
            </w:r>
          </w:p>
          <w:p>
            <w:pPr>
              <w:snapToGrid w:val="0"/>
              <w:jc w:val="center"/>
              <w:rPr>
                <w:rFonts w:ascii="宋体" w:hAnsi="宋体" w:eastAsia="宋体" w:cs="宋体"/>
                <w:szCs w:val="21"/>
              </w:rPr>
            </w:pPr>
            <w:r>
              <w:rPr>
                <w:rFonts w:hint="eastAsia" w:ascii="宋体" w:hAnsi="宋体" w:eastAsia="宋体" w:cs="宋体"/>
                <w:szCs w:val="21"/>
              </w:rPr>
              <w:t>教育</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依据马克思主义劳动观，将劳动分为生产劳动和非生产劳动，注重在学生个人生活自理中强化劳动自立意识，体验持家之道，这也是学生健康发展、适应社会生活的重要基础；后者具有较强的时代特点，注重利用知识、技能、工具、设备等为他人和社会提供服务，特别是在公益劳动、志愿服务中强化社会责任，培养良好的社会公德。</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引导学生从思想认识、情感态度、能力习惯三个方面面向学生提出了劳动教育目标，突出强调劳动教育的思想性.强调理解和形成马克思主义劳动观，牢固树立劳动最光荣、劳动最崇高、劳动最伟大、劳动最美丽的观念；体会劳动创造美好生活、劳动不分贵贱，热爱劳动，尊重普通劳动者，培养勤俭、奋斗、创新、奉献的劳动精神；具备满足生存发展需要的基本劳动能力，形成良好的劳动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5</w:t>
            </w:r>
          </w:p>
        </w:tc>
        <w:tc>
          <w:tcPr>
            <w:tcW w:w="1000" w:type="dxa"/>
            <w:vAlign w:val="center"/>
          </w:tcPr>
          <w:p>
            <w:pPr>
              <w:snapToGrid w:val="0"/>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思想</w:t>
            </w:r>
          </w:p>
          <w:p>
            <w:pPr>
              <w:snapToGrid w:val="0"/>
              <w:jc w:val="center"/>
              <w:rPr>
                <w:rFonts w:ascii="宋体" w:hAnsi="宋体" w:eastAsia="宋体" w:cs="宋体"/>
                <w:szCs w:val="21"/>
              </w:rPr>
            </w:pPr>
            <w:r>
              <w:rPr>
                <w:rFonts w:hint="eastAsia" w:ascii="宋体" w:hAnsi="宋体" w:eastAsia="宋体" w:cs="宋体"/>
                <w:color w:val="000000"/>
                <w:kern w:val="0"/>
                <w:szCs w:val="21"/>
                <w:lang w:bidi="ar"/>
              </w:rPr>
              <w:t>道德与法治</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提高大学生思想、政治、道德、法律素质，以适应大学生活、树立职业理想、规划精彩人生、提升道德品质、强化法治观念。培养德智体美全面发展的社会主义合格建设者和可靠接班人。</w:t>
            </w:r>
          </w:p>
        </w:tc>
        <w:tc>
          <w:tcPr>
            <w:tcW w:w="4028" w:type="dxa"/>
            <w:vAlign w:val="center"/>
          </w:tcPr>
          <w:p>
            <w:pPr>
              <w:snapToGrid w:val="0"/>
              <w:ind w:firstLine="420" w:firstLineChars="200"/>
              <w:jc w:val="left"/>
              <w:rPr>
                <w:rFonts w:ascii="宋体" w:hAnsi="宋体" w:eastAsia="宋体" w:cs="宋体"/>
                <w:szCs w:val="21"/>
                <w:lang w:val="zh-TW"/>
              </w:rPr>
            </w:pPr>
            <w:r>
              <w:rPr>
                <w:rFonts w:hint="eastAsia" w:ascii="宋体" w:hAnsi="宋体" w:eastAsia="宋体" w:cs="宋体"/>
                <w:szCs w:val="21"/>
              </w:rPr>
              <w:t>围绕职业岗位和社会的需要，结合学生情感、意志、能力形成过程，帮助大学生树立正确的人生观、价值观、道德观和法制观。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6</w:t>
            </w:r>
          </w:p>
        </w:tc>
        <w:tc>
          <w:tcPr>
            <w:tcW w:w="1000" w:type="dxa"/>
            <w:vAlign w:val="center"/>
          </w:tcPr>
          <w:p>
            <w:pPr>
              <w:snapToGrid w:val="0"/>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思想政治理论课实践教学</w:t>
            </w:r>
          </w:p>
        </w:tc>
        <w:tc>
          <w:tcPr>
            <w:tcW w:w="3834" w:type="dxa"/>
            <w:vAlign w:val="center"/>
          </w:tcPr>
          <w:p>
            <w:pPr>
              <w:snapToGrid w:val="0"/>
              <w:ind w:firstLine="420" w:firstLineChars="200"/>
              <w:jc w:val="left"/>
              <w:rPr>
                <w:rFonts w:ascii="宋体" w:hAnsi="宋体" w:eastAsia="宋体" w:cs="宋体"/>
                <w:szCs w:val="21"/>
              </w:rPr>
            </w:pPr>
            <w:r>
              <w:rPr>
                <w:rFonts w:hint="eastAsia" w:ascii="宋体" w:hAnsi="宋体" w:eastAsia="宋体" w:cs="宋体"/>
                <w:szCs w:val="21"/>
              </w:rPr>
              <w:t>立德树人，促进大学生健康成长和全面发展，引领风尚，提高大学生的思想政治素质，践行社会主义核心价值体系；承接地气，满足社会发展的需要和大学生自身的需要。</w:t>
            </w:r>
          </w:p>
        </w:tc>
        <w:tc>
          <w:tcPr>
            <w:tcW w:w="4028" w:type="dxa"/>
            <w:vAlign w:val="center"/>
          </w:tcPr>
          <w:p>
            <w:pPr>
              <w:snapToGrid w:val="0"/>
              <w:ind w:firstLine="420" w:firstLineChars="200"/>
              <w:jc w:val="left"/>
              <w:rPr>
                <w:rFonts w:ascii="宋体" w:hAnsi="宋体" w:eastAsia="宋体" w:cs="宋体"/>
                <w:szCs w:val="21"/>
              </w:rPr>
            </w:pPr>
            <w:r>
              <w:rPr>
                <w:rFonts w:hint="eastAsia" w:ascii="宋体" w:hAnsi="宋体" w:eastAsia="宋体" w:cs="宋体"/>
                <w:szCs w:val="21"/>
              </w:rPr>
              <w:t>帮助学生完成理论与实践结合及应用，历史与当代的结合与启示，纵向与横向实践分析等，注重学生的实践体验和感悟，在实践互动学习过程中增强实践的体验感和获得感，真正达到学生实践学习和实践育人的双重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7</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铸牢中华民族共同体意识</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引导学生树立正确的民族观、熟知中国政府处理民族问题的基本政策、了解我国民族的基本概况。学习国家通用语言文字的重要性树立马克思主义民族观、宗教观和祖国观。加强民族团结，构建和谐的社会主义民族关系，促进共同繁荣，维护祖国统一。</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学习中国的民族区域自治政策，促进各民族交往交流交融，理解国家通用语言文字是传承发展的财富和交往交流交融的纽带，增强对中华文化的认同，学习习近平总书记为内蒙古擘画的发展蓝图。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8</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毛泽东思想和中国特色社会主义理论体系概论</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学会运用马克思主义立场、观点、方法解决现实生活的基本问题。掌握科学地认识和分析复杂的社会现象的能力，运用建设中国特色社会主义理论和党的方针政策，对我国经济、政治和社会发展现状等社会现实问题，具备初步分析、判断能力。</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学习中国共产党把马克思主义基本原理与中国实际相结合的历史进程，充分反映马克思主义中国化的理论成果。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9</w:t>
            </w:r>
          </w:p>
          <w:p>
            <w:pPr>
              <w:snapToGrid w:val="0"/>
              <w:jc w:val="center"/>
              <w:rPr>
                <w:rFonts w:ascii="宋体" w:hAnsi="宋体" w:eastAsia="宋体" w:cs="宋体"/>
                <w:color w:val="404040"/>
                <w:szCs w:val="21"/>
                <w:shd w:val="clear" w:color="000000" w:fill="FFFFFF"/>
              </w:rPr>
            </w:pP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习近平新时代中国特色社会主义思想概论</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帮助当代青年学生科学把握中国特色社会主义的历史必然性，正确认识自身的时代责任和历史使命，增强青年大学生对中国特色社会主义“四个自信”，以时不我待的社会责任感和历史使命感，静心学习、刻苦钻研、提升本领，为实现“中国梦”凝聚青春力量的根本举措和紧迫要求。</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习近平新时代中国特色社会主义思想涵盖新时代坚持和发展中国特色社会主义的总目标、总任务、总体布局、战略布局和发展方向、发展方式、发展动力、战略步骤、外部条件、政治保证等内容，要求青年学生必将不断从中汲取科学智慧和理论力量，用以涵养正气、淬炼思想、升华境界、指导实践，自觉将个人理想追求融入到国家和民族的事业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10</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职业发展与就业指导</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帮助学生科学全面认知自我和社会就业环境；了解社会就业形势，树立正确的就业观，明确就业所需的知识、技能要求，有针对性地提高自身素质和职业需要的技能，以胜任未来的工作，为职业发展奠定良好的基础。</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就业形势、就业政策、求职技巧、就业信息等方面内容。模拟面试演练可作为学生考评之一。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11</w:t>
            </w:r>
          </w:p>
        </w:tc>
        <w:tc>
          <w:tcPr>
            <w:tcW w:w="1000" w:type="dxa"/>
            <w:vAlign w:val="center"/>
          </w:tcPr>
          <w:p>
            <w:pPr>
              <w:snapToGrid w:val="0"/>
              <w:jc w:val="center"/>
              <w:rPr>
                <w:rFonts w:ascii="宋体" w:hAnsi="宋体" w:eastAsia="宋体" w:cs="宋体"/>
                <w:szCs w:val="21"/>
              </w:rPr>
            </w:pPr>
          </w:p>
          <w:p>
            <w:pPr>
              <w:snapToGrid w:val="0"/>
              <w:jc w:val="center"/>
              <w:rPr>
                <w:rFonts w:ascii="宋体" w:hAnsi="宋体" w:eastAsia="宋体" w:cs="宋体"/>
                <w:szCs w:val="21"/>
              </w:rPr>
            </w:pPr>
            <w:r>
              <w:rPr>
                <w:rFonts w:hint="eastAsia" w:ascii="宋体" w:hAnsi="宋体" w:eastAsia="宋体" w:cs="宋体"/>
                <w:szCs w:val="21"/>
              </w:rPr>
              <w:t>高职</w:t>
            </w:r>
          </w:p>
          <w:p>
            <w:pPr>
              <w:snapToGrid w:val="0"/>
              <w:jc w:val="center"/>
              <w:rPr>
                <w:rFonts w:ascii="宋体" w:hAnsi="宋体" w:eastAsia="宋体" w:cs="宋体"/>
                <w:szCs w:val="21"/>
              </w:rPr>
            </w:pPr>
            <w:r>
              <w:rPr>
                <w:rFonts w:hint="eastAsia" w:ascii="宋体" w:hAnsi="宋体" w:eastAsia="宋体" w:cs="宋体"/>
                <w:szCs w:val="21"/>
              </w:rPr>
              <w:t>英语</w:t>
            </w:r>
          </w:p>
          <w:p>
            <w:pPr>
              <w:snapToGrid w:val="0"/>
              <w:rPr>
                <w:rFonts w:ascii="宋体" w:hAnsi="宋体" w:eastAsia="宋体" w:cs="宋体"/>
                <w:szCs w:val="21"/>
              </w:rPr>
            </w:pP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本课程主要任务是：通过课堂教学的各个环节，运用各种教学方法，使学生掌握一定的英语基础知识和听、说、读、写、译的基本技能，培养学生能够借助词典翻译和阅读有关英语业务资料的综合运用能力。</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高职英语的教学内容与学生的专业和生活实际紧密联系，主要围绕交通运输、职业生涯、日常生活、饮食、学习、数字时代、时尚与美、世界文化等方面，着重培养学生的听说能力，兼顾阅读理解、写作和语法等方面，培养学生对英语的综合运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12</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信息</w:t>
            </w:r>
          </w:p>
          <w:p>
            <w:pPr>
              <w:snapToGrid w:val="0"/>
              <w:jc w:val="center"/>
              <w:rPr>
                <w:rFonts w:ascii="宋体" w:hAnsi="宋体" w:eastAsia="宋体" w:cs="宋体"/>
                <w:szCs w:val="21"/>
              </w:rPr>
            </w:pPr>
            <w:r>
              <w:rPr>
                <w:rFonts w:hint="eastAsia" w:ascii="宋体" w:hAnsi="宋体" w:eastAsia="宋体" w:cs="宋体"/>
                <w:szCs w:val="21"/>
              </w:rPr>
              <w:t>技术</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本课程是一门计算机入门课程，是为非计算机专业类学生提供计算机一般应用所必需的基础知识、能力和素质的课程，内容丰富，与时俱进，实用性强。</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本课程包括操作系统、文字处理软件、电子表格、演示文稿、人工智能、大数据、常用剪辑软件等现代办公常用信息技术。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13</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高职实用语文</w:t>
            </w:r>
          </w:p>
        </w:tc>
        <w:tc>
          <w:tcPr>
            <w:tcW w:w="3834" w:type="dxa"/>
            <w:vAlign w:val="center"/>
          </w:tcPr>
          <w:p>
            <w:pPr>
              <w:snapToGrid w:val="0"/>
              <w:ind w:firstLine="420" w:firstLineChars="200"/>
              <w:jc w:val="left"/>
              <w:rPr>
                <w:rFonts w:ascii="宋体" w:hAnsi="宋体" w:eastAsia="宋体" w:cs="宋体"/>
                <w:szCs w:val="21"/>
                <w:lang w:val="zh-TW"/>
              </w:rPr>
            </w:pPr>
            <w:r>
              <w:rPr>
                <w:rFonts w:hint="eastAsia" w:ascii="宋体" w:hAnsi="宋体" w:eastAsia="宋体" w:cs="宋体"/>
                <w:szCs w:val="21"/>
              </w:rPr>
              <w:t>普及文学常识及中国传统文化思想，提高人文素养。</w:t>
            </w:r>
          </w:p>
        </w:tc>
        <w:tc>
          <w:tcPr>
            <w:tcW w:w="4028" w:type="dxa"/>
            <w:vAlign w:val="center"/>
          </w:tcPr>
          <w:p>
            <w:pPr>
              <w:snapToGrid w:val="0"/>
              <w:ind w:firstLine="420" w:firstLineChars="200"/>
              <w:jc w:val="left"/>
              <w:rPr>
                <w:rFonts w:ascii="宋体" w:hAnsi="宋体" w:eastAsia="宋体" w:cs="宋体"/>
                <w:szCs w:val="21"/>
              </w:rPr>
            </w:pPr>
            <w:r>
              <w:rPr>
                <w:rFonts w:hint="eastAsia" w:ascii="宋体" w:hAnsi="宋体" w:eastAsia="宋体" w:cs="宋体"/>
                <w:szCs w:val="21"/>
              </w:rPr>
              <w:t>高职实用语文主要教学内容：主要作家、作品、经典篇章、文学史知识。</w:t>
            </w:r>
          </w:p>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要求：对文学史发展有比较清晰地概念，对重要作家作品有基本的了解，能够具备一定的文学知识储备和文化素养。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 w:type="dxa"/>
            <w:vAlign w:val="center"/>
          </w:tcPr>
          <w:p>
            <w:pPr>
              <w:snapToGrid w:val="0"/>
              <w:jc w:val="center"/>
              <w:rPr>
                <w:rFonts w:ascii="宋体" w:hAnsi="宋体" w:eastAsia="宋体" w:cs="宋体"/>
                <w:color w:val="404040"/>
                <w:szCs w:val="21"/>
                <w:shd w:val="clear" w:color="000000" w:fill="FFFFFF"/>
              </w:rPr>
            </w:pPr>
            <w:r>
              <w:rPr>
                <w:rFonts w:hint="eastAsia" w:ascii="宋体" w:hAnsi="宋体" w:eastAsia="宋体" w:cs="宋体"/>
                <w:color w:val="404040"/>
                <w:szCs w:val="21"/>
                <w:shd w:val="clear" w:color="000000" w:fill="FFFFFF"/>
              </w:rPr>
              <w:t>14</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体育与健康</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通过体育课程学习，培养学生体育兴趣，掌握科学的体育锻炼方法；全面发展体能素质；养成自觉参与锻炼的行为习惯，提高终身体育锻炼能力；形成健康的心理品质、良好的人格特征、积极的竞争意识以及团队合作态度。</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紧扣课程的主要目标，实现健身性、实效性、科学性、人文性、职业准备性的有机统一。以“健康第一”的指导思想作为确定课程内容的基本出发点，以身体练习作为体育课程的主要载体，体育理论知识为辅，具备一定的篮球、足球等基本技术和理论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szCs w:val="21"/>
                <w:shd w:val="clear" w:color="000000" w:fill="FFFFFF"/>
              </w:rPr>
            </w:pPr>
            <w:r>
              <w:rPr>
                <w:rFonts w:hint="eastAsia" w:ascii="宋体" w:hAnsi="宋体" w:eastAsia="宋体" w:cs="宋体"/>
                <w:szCs w:val="21"/>
                <w:shd w:val="clear" w:color="000000" w:fill="FFFFFF"/>
              </w:rPr>
              <w:t>15</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高职</w:t>
            </w:r>
          </w:p>
          <w:p>
            <w:pPr>
              <w:snapToGrid w:val="0"/>
              <w:jc w:val="center"/>
              <w:rPr>
                <w:rFonts w:ascii="宋体" w:hAnsi="宋体" w:eastAsia="宋体" w:cs="宋体"/>
                <w:szCs w:val="21"/>
              </w:rPr>
            </w:pPr>
            <w:r>
              <w:rPr>
                <w:rFonts w:hint="eastAsia" w:ascii="宋体" w:hAnsi="宋体" w:eastAsia="宋体" w:cs="宋体"/>
                <w:szCs w:val="21"/>
              </w:rPr>
              <w:t>数学</w:t>
            </w:r>
          </w:p>
        </w:tc>
        <w:tc>
          <w:tcPr>
            <w:tcW w:w="3834" w:type="dxa"/>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通过学习使学生掌握基本的数学思想方法和必要的应用知识，学会用数学的思维方式去观察、去解决学习、生活、工作中的实际问题，使学生具有一定的创新精神和提出问题分析问题解决问题的能力，在工作中实事求是、坚持真理。</w:t>
            </w:r>
          </w:p>
        </w:tc>
        <w:tc>
          <w:tcPr>
            <w:tcW w:w="4028" w:type="dxa"/>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主要围绕函数极限和连续、导数与微分、导数应用、不定积分与定积分、常微分方程等进行学习。要求学生能较系统地掌握必需的基础理论、基本知识和常用的运算方法，为学生后续的专业课的学习打好基础。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szCs w:val="21"/>
                <w:shd w:val="clear" w:color="000000" w:fill="FFFFFF"/>
              </w:rPr>
            </w:pPr>
            <w:r>
              <w:rPr>
                <w:rFonts w:hint="eastAsia" w:ascii="宋体" w:hAnsi="宋体" w:eastAsia="宋体" w:cs="宋体"/>
                <w:szCs w:val="21"/>
                <w:shd w:val="clear" w:color="000000" w:fill="FFFFFF"/>
              </w:rPr>
              <w:t>16</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心理健康教育</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提升学生心理保健的意识，培养学生自我认知，健全人格，增强学生调节情绪、应对挫折的能力。掌握与人沟通的技巧，形成健康的心理品质，提高心理健康水平。</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主要围绕适应能力、心理与心理健康、自我认识、网络与学习、人际交往、恋爱心理、情绪管理等内容开展专题教学活动。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446" w:type="dxa"/>
            <w:vAlign w:val="center"/>
          </w:tcPr>
          <w:p>
            <w:pPr>
              <w:snapToGrid w:val="0"/>
              <w:jc w:val="center"/>
              <w:rPr>
                <w:rFonts w:ascii="宋体" w:hAnsi="宋体" w:eastAsia="宋体" w:cs="宋体"/>
                <w:szCs w:val="21"/>
                <w:shd w:val="clear" w:color="000000" w:fill="FFFFFF"/>
              </w:rPr>
            </w:pPr>
            <w:r>
              <w:rPr>
                <w:rFonts w:hint="eastAsia" w:ascii="宋体" w:hAnsi="宋体" w:eastAsia="宋体" w:cs="宋体"/>
                <w:szCs w:val="21"/>
                <w:shd w:val="clear" w:color="000000" w:fill="FFFFFF"/>
              </w:rPr>
              <w:t>17</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大学生安全</w:t>
            </w:r>
          </w:p>
          <w:p>
            <w:pPr>
              <w:snapToGrid w:val="0"/>
              <w:jc w:val="center"/>
              <w:rPr>
                <w:rFonts w:ascii="宋体" w:hAnsi="宋体" w:eastAsia="宋体" w:cs="宋体"/>
                <w:szCs w:val="21"/>
              </w:rPr>
            </w:pPr>
            <w:r>
              <w:rPr>
                <w:rFonts w:hint="eastAsia" w:ascii="宋体" w:hAnsi="宋体" w:eastAsia="宋体" w:cs="宋体"/>
                <w:szCs w:val="21"/>
              </w:rPr>
              <w:t>教育</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通过学习，使学生了解国家法律法规，学校安全规章和制度，掌握安全知识与防范技能，从而提高学生的安全防范意识和自我保护能力。</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主要围绕安全常识、人身安全、财产安全、网络安全、遵纪守法预防犯罪、交通安全、消防安全、自然灾害安全、国家安全等内容学习。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snapToGrid w:val="0"/>
              <w:jc w:val="center"/>
              <w:rPr>
                <w:rFonts w:ascii="宋体" w:hAnsi="宋体" w:eastAsia="宋体" w:cs="宋体"/>
                <w:szCs w:val="21"/>
                <w:shd w:val="clear" w:color="000000" w:fill="FFFFFF"/>
              </w:rPr>
            </w:pPr>
            <w:r>
              <w:rPr>
                <w:rFonts w:hint="eastAsia" w:ascii="宋体" w:hAnsi="宋体" w:eastAsia="宋体" w:cs="宋体"/>
                <w:szCs w:val="21"/>
                <w:shd w:val="clear" w:color="000000" w:fill="FFFFFF"/>
              </w:rPr>
              <w:t>18</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创新与创业</w:t>
            </w:r>
          </w:p>
          <w:p>
            <w:pPr>
              <w:snapToGrid w:val="0"/>
              <w:jc w:val="center"/>
              <w:rPr>
                <w:rFonts w:ascii="宋体" w:hAnsi="宋体" w:eastAsia="宋体" w:cs="宋体"/>
                <w:szCs w:val="21"/>
              </w:rPr>
            </w:pPr>
            <w:r>
              <w:rPr>
                <w:rFonts w:hint="eastAsia" w:ascii="宋体" w:hAnsi="宋体" w:eastAsia="宋体" w:cs="宋体"/>
                <w:szCs w:val="21"/>
              </w:rPr>
              <w:t>教育</w:t>
            </w:r>
          </w:p>
        </w:tc>
        <w:tc>
          <w:tcPr>
            <w:tcW w:w="3834"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能够进行创业机会识别和分析，树立科学的创新创业观，激发学生的创新创业意识，提高学生的社会责任感和创业精神，促进学生创业、就业全面发展。</w:t>
            </w:r>
          </w:p>
        </w:tc>
        <w:tc>
          <w:tcPr>
            <w:tcW w:w="4028" w:type="dxa"/>
            <w:vAlign w:val="center"/>
          </w:tcPr>
          <w:p>
            <w:pPr>
              <w:snapToGrid w:val="0"/>
              <w:ind w:firstLine="420" w:firstLineChars="200"/>
              <w:jc w:val="left"/>
              <w:rPr>
                <w:rFonts w:ascii="宋体" w:hAnsi="宋体" w:eastAsia="宋体" w:cs="宋体"/>
                <w:szCs w:val="21"/>
                <w:lang w:val="zh-TW" w:eastAsia="zh-TW"/>
              </w:rPr>
            </w:pPr>
            <w:r>
              <w:rPr>
                <w:rFonts w:hint="eastAsia" w:ascii="宋体" w:hAnsi="宋体" w:eastAsia="宋体" w:cs="宋体"/>
                <w:szCs w:val="21"/>
              </w:rPr>
              <w:t>训练创新思维，打造创业团队，识别创业机会，整合创业资源，设计商业模式，创业计划与路演展示等。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vAlign w:val="center"/>
          </w:tcPr>
          <w:p>
            <w:pPr>
              <w:snapToGrid w:val="0"/>
              <w:jc w:val="center"/>
              <w:rPr>
                <w:rFonts w:ascii="宋体" w:hAnsi="宋体" w:eastAsia="宋体" w:cs="宋体"/>
                <w:szCs w:val="21"/>
                <w:shd w:val="clear" w:color="000000" w:fill="FFFFFF"/>
              </w:rPr>
            </w:pPr>
            <w:r>
              <w:rPr>
                <w:rFonts w:hint="eastAsia" w:ascii="宋体" w:hAnsi="宋体" w:eastAsia="宋体" w:cs="宋体"/>
                <w:szCs w:val="21"/>
                <w:shd w:val="clear" w:color="000000" w:fill="FFFFFF"/>
              </w:rPr>
              <w:t>19</w:t>
            </w:r>
          </w:p>
        </w:tc>
        <w:tc>
          <w:tcPr>
            <w:tcW w:w="1000" w:type="dxa"/>
            <w:vAlign w:val="center"/>
          </w:tcPr>
          <w:p>
            <w:pPr>
              <w:snapToGrid w:val="0"/>
              <w:jc w:val="center"/>
              <w:rPr>
                <w:rFonts w:ascii="宋体" w:hAnsi="宋体" w:eastAsia="宋体" w:cs="宋体"/>
                <w:szCs w:val="21"/>
              </w:rPr>
            </w:pPr>
            <w:r>
              <w:rPr>
                <w:rFonts w:hint="eastAsia" w:ascii="宋体" w:hAnsi="宋体" w:eastAsia="宋体" w:cs="宋体"/>
                <w:szCs w:val="21"/>
              </w:rPr>
              <w:t>“四史”教育</w:t>
            </w:r>
          </w:p>
        </w:tc>
        <w:tc>
          <w:tcPr>
            <w:tcW w:w="3834" w:type="dxa"/>
            <w:vAlign w:val="center"/>
          </w:tcPr>
          <w:p>
            <w:pPr>
              <w:snapToGrid w:val="0"/>
              <w:ind w:firstLine="420" w:firstLineChars="200"/>
              <w:jc w:val="left"/>
              <w:rPr>
                <w:rFonts w:ascii="宋体" w:hAnsi="宋体" w:eastAsia="宋体" w:cs="宋体"/>
                <w:szCs w:val="21"/>
              </w:rPr>
            </w:pPr>
            <w:r>
              <w:rPr>
                <w:rFonts w:hint="eastAsia" w:ascii="宋体" w:hAnsi="宋体" w:eastAsia="宋体" w:cs="宋体"/>
                <w:szCs w:val="21"/>
              </w:rPr>
              <w:t>通过学习帮助学生认识近现代中国共产党的历史及新中国，改革开放和社会主义发展的历史进程及其内在的规律性，了解党史，国情，深刻领会历史和人民怎样选择了马克思主义，怎样选择了中国共产党。怎样选择了社会主义道路。</w:t>
            </w:r>
          </w:p>
        </w:tc>
        <w:tc>
          <w:tcPr>
            <w:tcW w:w="4028" w:type="dxa"/>
          </w:tcPr>
          <w:p>
            <w:pPr>
              <w:snapToGrid w:val="0"/>
              <w:ind w:firstLine="420" w:firstLineChars="200"/>
              <w:jc w:val="left"/>
              <w:rPr>
                <w:rFonts w:ascii="宋体" w:hAnsi="宋体" w:eastAsia="宋体" w:cs="宋体"/>
                <w:szCs w:val="21"/>
              </w:rPr>
            </w:pPr>
            <w:r>
              <w:rPr>
                <w:rFonts w:hint="eastAsia" w:ascii="宋体" w:hAnsi="宋体" w:eastAsia="宋体" w:cs="宋体"/>
                <w:szCs w:val="21"/>
              </w:rPr>
              <w:t>学习有关历史进程，事件和人物的分析，帮助大学生提高运用历史唯物主义，方法论分析和评价历史问题，辨别历史是非和社会主义发展方向的能力，从而激发学生的“五个认同”，激发爱国主义情感与历史责任感，增强建设中国特色社会主义的自觉性。</w:t>
            </w:r>
          </w:p>
        </w:tc>
      </w:tr>
    </w:tbl>
    <w:p>
      <w:pPr>
        <w:pStyle w:val="80"/>
        <w:spacing w:line="520" w:lineRule="exact"/>
        <w:ind w:firstLine="560" w:firstLineChars="200"/>
        <w:outlineLvl w:val="9"/>
        <w:rPr>
          <w:rFonts w:ascii="楷体_GB2312" w:hAnsi="楷体_GB2312" w:eastAsia="楷体_GB2312" w:cs="楷体_GB2312"/>
          <w:b w:val="0"/>
          <w:bCs/>
          <w:color w:val="000000" w:themeColor="text1"/>
          <w:sz w:val="28"/>
          <w:szCs w:val="28"/>
          <w14:textFill>
            <w14:solidFill>
              <w14:schemeClr w14:val="tx1"/>
            </w14:solidFill>
          </w14:textFill>
        </w:rPr>
      </w:pPr>
    </w:p>
    <w:p>
      <w:pPr>
        <w:pStyle w:val="80"/>
        <w:outlineLvl w:val="9"/>
        <w:rPr>
          <w:rFonts w:ascii="楷体_GB2312" w:hAnsi="楷体_GB2312" w:eastAsia="楷体_GB2312" w:cs="楷体_GB2312"/>
          <w:b w:val="0"/>
          <w:bCs/>
          <w:color w:val="000000" w:themeColor="text1"/>
          <w:sz w:val="28"/>
          <w:szCs w:val="28"/>
          <w14:textFill>
            <w14:solidFill>
              <w14:schemeClr w14:val="tx1"/>
            </w14:solidFill>
          </w14:textFill>
        </w:rPr>
      </w:pPr>
      <w:bookmarkStart w:id="29" w:name="_Toc27140"/>
      <w:bookmarkStart w:id="30" w:name="_Toc38201839"/>
      <w:bookmarkStart w:id="31" w:name="_Toc38299252"/>
      <w:r>
        <w:rPr>
          <w:rFonts w:hint="eastAsia" w:ascii="楷体_GB2312" w:hAnsi="楷体_GB2312" w:eastAsia="楷体_GB2312" w:cs="楷体_GB2312"/>
          <w:b w:val="0"/>
          <w:bCs/>
          <w:color w:val="000000" w:themeColor="text1"/>
          <w:sz w:val="28"/>
          <w:szCs w:val="28"/>
          <w14:textFill>
            <w14:solidFill>
              <w14:schemeClr w14:val="tx1"/>
            </w14:solidFill>
          </w14:textFill>
        </w:rPr>
        <w:t>（二）专业（技能）课设置</w:t>
      </w:r>
      <w:bookmarkEnd w:id="29"/>
      <w:bookmarkEnd w:id="30"/>
      <w:bookmarkEnd w:id="31"/>
    </w:p>
    <w:tbl>
      <w:tblPr>
        <w:tblStyle w:val="27"/>
        <w:tblW w:w="961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20"/>
        <w:gridCol w:w="4171"/>
        <w:gridCol w:w="4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课程名称</w:t>
            </w:r>
          </w:p>
        </w:tc>
        <w:tc>
          <w:tcPr>
            <w:tcW w:w="417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课程目标</w:t>
            </w:r>
          </w:p>
        </w:tc>
        <w:tc>
          <w:tcPr>
            <w:tcW w:w="402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主要教学内容与要求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02" w:type="dxa"/>
            <w:tcBorders>
              <w:left w:val="single" w:color="auto" w:sz="4" w:space="0"/>
              <w:bottom w:val="single" w:color="auto" w:sz="4" w:space="0"/>
              <w:right w:val="single" w:color="auto" w:sz="4" w:space="0"/>
            </w:tcBorders>
            <w:vAlign w:val="center"/>
          </w:tcPr>
          <w:p>
            <w:pPr>
              <w:snapToGrid w:val="0"/>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机械基础</w:t>
            </w:r>
          </w:p>
        </w:tc>
        <w:tc>
          <w:tcPr>
            <w:tcW w:w="4171" w:type="dxa"/>
            <w:tcBorders>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使学生能够掌握基本的机械常识，为提高学生的识图能力，课本中图例较多，同时配有立体图，能有效地培养学生的空间想象力。</w:t>
            </w:r>
          </w:p>
        </w:tc>
        <w:tc>
          <w:tcPr>
            <w:tcW w:w="4021" w:type="dxa"/>
            <w:tcBorders>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机械识图与电气识图，极限与配合，工程力学基础，常用材料基础知识，机械传动，常用机构，联接，弹性元件，示数装置和液压传动等。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kern w:val="0"/>
                <w:szCs w:val="21"/>
              </w:rPr>
              <w:t>汽车电工电子技术</w:t>
            </w:r>
          </w:p>
        </w:tc>
        <w:tc>
          <w:tcPr>
            <w:tcW w:w="417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szCs w:val="21"/>
              </w:rPr>
              <w:t>通过本课程的学习能够熟练掌握直流电路元件的测量及分析方法，正弦交流电与三相交流电的区别和特点，磁路与磁路元件和变压器的工作原理，以及电机的工作原理、特性和安全用电的常识。</w:t>
            </w:r>
          </w:p>
        </w:tc>
        <w:tc>
          <w:tcPr>
            <w:tcW w:w="402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szCs w:val="21"/>
              </w:rPr>
              <w:t>运用万用表测量交流电压、直流电压、交流电流、直流电流及电阻；直流电路元件的测量及分析方法；正弦交流电与三相交流电的区别和特点；磁路与磁路元件、变压器及电机的工作原理、特性和安全用电的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kern w:val="0"/>
                <w:szCs w:val="21"/>
              </w:rPr>
              <w:t>液压与液力传动</w:t>
            </w:r>
          </w:p>
        </w:tc>
        <w:tc>
          <w:tcPr>
            <w:tcW w:w="417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szCs w:val="21"/>
              </w:rPr>
              <w:t>学生通过学习，掌握液压系统元件的结构、工作原理，以及典型液压系统系统的工作过程，并且知道上述系统在汽车上的应用，初步具有分析汽车制动系统、液压动力转向系统等工作状态的能力。</w:t>
            </w:r>
          </w:p>
        </w:tc>
        <w:tc>
          <w:tcPr>
            <w:tcW w:w="402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szCs w:val="21"/>
              </w:rPr>
              <w:t>本课程学习液压传动的基础知识，主要内容包括液压动力元件、执行元件、控制元件、辅助元件及气动元件的结构及原理，液压、气压的基本回路，以及典型液压系统和气压传动系统等。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tcBorders>
              <w:top w:val="single" w:color="auto" w:sz="4" w:space="0"/>
              <w:left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kern w:val="0"/>
                <w:szCs w:val="21"/>
              </w:rPr>
              <w:t>汽车维护与保养</w:t>
            </w:r>
          </w:p>
        </w:tc>
        <w:tc>
          <w:tcPr>
            <w:tcW w:w="4171" w:type="dxa"/>
            <w:tcBorders>
              <w:top w:val="single" w:color="auto" w:sz="4" w:space="0"/>
              <w:left w:val="single" w:color="auto" w:sz="4" w:space="0"/>
              <w:right w:val="single" w:color="auto" w:sz="4" w:space="0"/>
            </w:tcBorders>
            <w:vAlign w:val="center"/>
          </w:tcPr>
          <w:p>
            <w:pPr>
              <w:snapToGrid w:val="0"/>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szCs w:val="21"/>
              </w:rPr>
              <w:t>通过对课程的学习，训练和提高学生能使用合作维修工具和选择合适的专业工具独立进行车辆的维护基本技能;能够在工作中具备与客户的交流与协商能力，能够向客户咨询车况，查询车辆技术档案，初步评定车辆技术状况，能够遵循车辆维护工作安全规范，制定维护工作计划，正确选择检测设备和工具对车辆进行维护，能够完成车辆和系统的保养与维护中的各个学习项目，能够遵守相关法律、技术规定，按照正确规范进行操作，保证汽车维护质量。</w:t>
            </w:r>
          </w:p>
        </w:tc>
        <w:tc>
          <w:tcPr>
            <w:tcW w:w="4021" w:type="dxa"/>
            <w:tcBorders>
              <w:top w:val="single" w:color="auto" w:sz="4" w:space="0"/>
              <w:left w:val="single" w:color="auto" w:sz="4" w:space="0"/>
              <w:right w:val="single" w:color="auto" w:sz="4" w:space="0"/>
            </w:tcBorders>
            <w:vAlign w:val="center"/>
          </w:tcPr>
          <w:p>
            <w:pPr>
              <w:snapToGrid w:val="0"/>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szCs w:val="21"/>
              </w:rPr>
              <w:t>汽车维护管理中有关法律法规相关标准；汽车维护的基础知识；汽车维护的材料及设备使用技术；汽车定期与非定期维护的作业技术；常见汽车维护与保养操作规程；一定的沟通能力和组织协调能力；一定的分析和运用行进专业设备进行汽车维护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5</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宋体"/>
                <w:color w:val="000000" w:themeColor="text1"/>
                <w:szCs w:val="21"/>
                <w14:textFill>
                  <w14:solidFill>
                    <w14:schemeClr w14:val="tx1"/>
                  </w14:solidFill>
                </w14:textFill>
              </w:rPr>
            </w:pPr>
            <w:r>
              <w:rPr>
                <w:rFonts w:hint="eastAsia"/>
              </w:rPr>
              <w:t>汽车发动机故障诊断与修复</w:t>
            </w:r>
          </w:p>
        </w:tc>
        <w:tc>
          <w:tcPr>
            <w:tcW w:w="417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szCs w:val="21"/>
              </w:rPr>
              <w:t>通过本课程学习，掌握汽车发动机构造和汽车发动机电控技术两大部分内容，全面系统地学习汽车发动机基本原理、基本构造、电子控制系统、故障检测、诊断与排除等知识。</w:t>
            </w:r>
          </w:p>
        </w:tc>
        <w:tc>
          <w:tcPr>
            <w:tcW w:w="402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szCs w:val="21"/>
              </w:rPr>
              <w:t>内容包括汽车发动机的工作原理和总体结构、汽油机电子控制燃油喷射（EFI）系统、汽油机辅助控制系统、汽油机电子控制点火系统、汽油机电控燃油喷射系统常见故障诊断与排除、柴油机燃料供给系统、柴油机电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6</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汽车电气设备检修</w:t>
            </w:r>
          </w:p>
        </w:tc>
        <w:tc>
          <w:tcPr>
            <w:tcW w:w="417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szCs w:val="21"/>
              </w:rPr>
              <w:t>学生通过学习，掌握汽车电气设备各系统的结构特点及工作原理，会正确使用和保养工具、检测设备、维修设备，对常用的电气设备能够独立地完成拆装和检修，能够读懂汽车电路图，会用电路图分析汽车电路的工作过程。</w:t>
            </w:r>
          </w:p>
        </w:tc>
        <w:tc>
          <w:tcPr>
            <w:tcW w:w="402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szCs w:val="21"/>
              </w:rPr>
              <w:t>本课程学习汽车电源系统、汽车起动系统、汽车照明与信号系统、汽车仪表及报警系统、汽车舒适系统、空调系统、汽车安全气囊及防盗系统、全车线路等结构、工作原理，以及使用、检测、调试、维修等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7</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宋体"/>
                <w:color w:val="000000" w:themeColor="text1"/>
                <w:szCs w:val="21"/>
                <w14:textFill>
                  <w14:solidFill>
                    <w14:schemeClr w14:val="tx1"/>
                  </w14:solidFill>
                </w14:textFill>
              </w:rPr>
            </w:pPr>
            <w:r>
              <w:rPr>
                <w:rFonts w:hint="eastAsia"/>
              </w:rPr>
              <w:t>汽车底盘及电控技术</w:t>
            </w:r>
          </w:p>
        </w:tc>
        <w:tc>
          <w:tcPr>
            <w:tcW w:w="417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szCs w:val="21"/>
              </w:rPr>
              <w:t>要求学生达到具有独立排除汽车底盘故障的方法和技巧，学会运用相关设备的使用方法并掌握汽车底盘系统维护及维修的方式方法。课程突出技能训练及职业素养的培养，最终达到国家汽车修理工职业资格相应的知识和技能要求。</w:t>
            </w:r>
          </w:p>
        </w:tc>
        <w:tc>
          <w:tcPr>
            <w:tcW w:w="402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szCs w:val="21"/>
              </w:rPr>
              <w:t>汽车传动系统、行驶系统、转向系统和制动系统的作用、组成及各组成部件的结构原理；汽车底盘各个系统的检测、调整及维修；汽车底盘维修中常用的工具、设备仪器的使用方法；汽车底盘系统的故障分析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8</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宋体"/>
                <w:color w:val="000000" w:themeColor="text1"/>
                <w:szCs w:val="21"/>
                <w14:textFill>
                  <w14:solidFill>
                    <w14:schemeClr w14:val="tx1"/>
                  </w14:solidFill>
                </w14:textFill>
              </w:rPr>
            </w:pPr>
            <w:r>
              <w:rPr>
                <w:rFonts w:hint="eastAsia"/>
              </w:rPr>
              <w:t>车身综合修复训练</w:t>
            </w:r>
          </w:p>
        </w:tc>
        <w:tc>
          <w:tcPr>
            <w:tcW w:w="417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szCs w:val="21"/>
              </w:rPr>
              <w:t>本课程要求结合维修企业生产实际及技能需求，突出技能训练及职业素养的培养，同时，兼顾各专业课程之间的关系，由浅入深，将专业理论知识及岗位职业素养要求融入各训练项目，使学生在技能训练过程中能够主动学习并掌握基本理论，通过反复强化训练，最终达到汽车维修工职业资格相应的知识和技能要求。</w:t>
            </w:r>
          </w:p>
        </w:tc>
        <w:tc>
          <w:tcPr>
            <w:tcW w:w="402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szCs w:val="21"/>
              </w:rPr>
              <w:t>主要包括车身修复和涂装两个方向的内容，分为钣金修复学习和涂装技术学习两个阶段，结合企业的生产实际，真实再现企业的生产流程及质量评价体系，使学生在后期的生产实习及实际工作中能顺利过渡，达到校企衔接、相互融合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9</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宋体"/>
                <w:color w:val="000000" w:themeColor="text1"/>
                <w:szCs w:val="21"/>
                <w14:textFill>
                  <w14:solidFill>
                    <w14:schemeClr w14:val="tx1"/>
                  </w14:solidFill>
                </w14:textFill>
              </w:rPr>
            </w:pPr>
            <w:r>
              <w:rPr>
                <w:rFonts w:hint="eastAsia"/>
              </w:rPr>
              <w:t>汽车检测与故障诊断</w:t>
            </w:r>
          </w:p>
        </w:tc>
        <w:tc>
          <w:tcPr>
            <w:tcW w:w="417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szCs w:val="21"/>
              </w:rPr>
              <w:t>主要让学生掌握汽车故障检测与维修的基本理论知识，能够根据故障出现的现象，对其进行原因分析。在课程实践教学上通过教师的示范，主要注重对查找故障和排除故障的方法掌握。主要注重实践技能的提高，通过课程实践教学中掌握的理论，及时的分析故障出现原因与故障部位，能够对汽车各系统的重要部位进行检测和调整，具备对汽车典型故障进行诊断、检测与排除的能力。</w:t>
            </w:r>
          </w:p>
        </w:tc>
        <w:tc>
          <w:tcPr>
            <w:tcW w:w="402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cs="宋体"/>
                <w:szCs w:val="21"/>
              </w:rPr>
              <w:t>本课程重点介绍常用汽车故障诊断检测设备的功能及使用，并结合了大量的汽车故障实例，包括汽车行驶动力不足故障诊断、汽车动力传输动力不良故障诊断、汽车操纵不良故障诊断等三个大的内容，38个具体故障，从现象入手，详尽的分析每一故障的原因，制订科学合理的维修方案，对《汽车发动机故障诊断与修复》、《汽车底盘及电控技术》、《</w:t>
            </w:r>
            <w:r>
              <w:rPr>
                <w:rFonts w:hint="eastAsia" w:ascii="宋体" w:hAnsi="宋体" w:eastAsia="宋体" w:cs="宋体"/>
                <w:color w:val="000000" w:themeColor="text1"/>
                <w:szCs w:val="21"/>
                <w14:textFill>
                  <w14:solidFill>
                    <w14:schemeClr w14:val="tx1"/>
                  </w14:solidFill>
                </w14:textFill>
              </w:rPr>
              <w:t>汽车电气设备检修</w:t>
            </w:r>
            <w:r>
              <w:rPr>
                <w:rFonts w:hint="eastAsia" w:ascii="宋体" w:hAnsi="宋体" w:cs="宋体"/>
                <w:szCs w:val="21"/>
              </w:rPr>
              <w:t>》等课程进行进一步的整合与加固，从而达到融会贯通，合理科学运用所学知识在较短的时间诊断并排除故障。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10</w:t>
            </w:r>
          </w:p>
        </w:tc>
        <w:tc>
          <w:tcPr>
            <w:tcW w:w="82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汽车综合实训</w:t>
            </w:r>
          </w:p>
        </w:tc>
        <w:tc>
          <w:tcPr>
            <w:tcW w:w="4171" w:type="dxa"/>
            <w:tcBorders>
              <w:top w:val="single" w:color="auto" w:sz="4" w:space="0"/>
              <w:left w:val="single" w:color="auto" w:sz="4" w:space="0"/>
              <w:bottom w:val="single" w:color="auto" w:sz="4" w:space="0"/>
              <w:right w:val="single" w:color="auto" w:sz="4" w:space="0"/>
            </w:tcBorders>
            <w:vAlign w:val="center"/>
          </w:tcPr>
          <w:p>
            <w:pPr>
              <w:spacing w:line="276" w:lineRule="auto"/>
              <w:ind w:firstLine="420" w:firstLineChars="200"/>
            </w:pPr>
            <w:r>
              <w:rPr>
                <w:rFonts w:hint="eastAsia"/>
              </w:rPr>
              <w:t>本课程是职业院校汽车运用与维修专业拓展课程，课程要求结合维修企业生产实际及技能需求，突出技能训练及职业素养的培养，同时，兼顾各专业课程之间的关系，由浅入深，将专业理论知识及岗位职业素养要求融入各训练项目，使学生在技能训练过程中能够主动学习并掌握基本理论，通过反复强化训练，最终达到汽车维修工职业资格相应的知识和技能要求。</w:t>
            </w:r>
          </w:p>
        </w:tc>
        <w:tc>
          <w:tcPr>
            <w:tcW w:w="4021" w:type="dxa"/>
            <w:tcBorders>
              <w:top w:val="single" w:color="auto" w:sz="4" w:space="0"/>
              <w:left w:val="single" w:color="auto" w:sz="4" w:space="0"/>
              <w:bottom w:val="single" w:color="auto" w:sz="4" w:space="0"/>
              <w:right w:val="single" w:color="auto" w:sz="4" w:space="0"/>
            </w:tcBorders>
            <w:vAlign w:val="center"/>
          </w:tcPr>
          <w:p>
            <w:pPr>
              <w:snapToGrid w:val="0"/>
              <w:ind w:firstLine="420" w:firstLineChars="200"/>
              <w:jc w:val="left"/>
              <w:rPr>
                <w:rFonts w:ascii="宋体" w:hAnsi="宋体" w:eastAsia="宋体" w:cs="宋体"/>
                <w:color w:val="000000" w:themeColor="text1"/>
                <w:szCs w:val="21"/>
                <w14:textFill>
                  <w14:solidFill>
                    <w14:schemeClr w14:val="tx1"/>
                  </w14:solidFill>
                </w14:textFill>
              </w:rPr>
            </w:pPr>
            <w:bookmarkStart w:id="32" w:name="_Hlk118471784"/>
            <w:r>
              <w:rPr>
                <w:rFonts w:hint="eastAsia" w:ascii="宋体" w:hAnsi="宋体" w:cs="宋体"/>
                <w:szCs w:val="21"/>
              </w:rPr>
              <w:t>本课程以汽车发动机、底盘、电气设备各系统的典型故障案例为载体，基于各系统工作原理、拆装检测、故障诊断等设计具体情境，引导学生自主查阅资料，通过互动式学习提高学生自主学习能力，以适应顶岗实习及就业的需求。</w:t>
            </w:r>
            <w:bookmarkEnd w:id="32"/>
          </w:p>
        </w:tc>
      </w:tr>
    </w:tbl>
    <w:p>
      <w:pPr>
        <w:rPr>
          <w:rFonts w:ascii="黑体" w:hAnsi="黑体" w:eastAsia="黑体" w:cs="黑体"/>
          <w:bCs/>
          <w:color w:val="000000" w:themeColor="text1"/>
          <w:sz w:val="30"/>
          <w:szCs w:val="30"/>
          <w14:textFill>
            <w14:solidFill>
              <w14:schemeClr w14:val="tx1"/>
            </w14:solidFill>
          </w14:textFill>
        </w:rPr>
      </w:pPr>
      <w:bookmarkStart w:id="33" w:name="_Toc38299253"/>
      <w:bookmarkStart w:id="34" w:name="_Toc38201840"/>
      <w:r>
        <w:rPr>
          <w:rFonts w:hint="eastAsia" w:ascii="黑体" w:hAnsi="黑体" w:eastAsia="黑体" w:cs="黑体"/>
          <w:bCs/>
          <w:color w:val="000000" w:themeColor="text1"/>
          <w:sz w:val="30"/>
          <w:szCs w:val="30"/>
          <w14:textFill>
            <w14:solidFill>
              <w14:schemeClr w14:val="tx1"/>
            </w14:solidFill>
          </w14:textFill>
        </w:rPr>
        <w:br w:type="page"/>
      </w:r>
    </w:p>
    <w:p>
      <w:pPr>
        <w:pStyle w:val="35"/>
        <w:spacing w:line="560" w:lineRule="exact"/>
        <w:ind w:left="319" w:leftChars="152" w:firstLine="300" w:firstLineChars="100"/>
        <w:rPr>
          <w:rFonts w:ascii="黑体" w:hAnsi="黑体" w:eastAsia="黑体" w:cs="黑体"/>
          <w:b w:val="0"/>
          <w:bCs/>
          <w:color w:val="000000" w:themeColor="text1"/>
          <w:sz w:val="30"/>
          <w:szCs w:val="30"/>
          <w14:textFill>
            <w14:solidFill>
              <w14:schemeClr w14:val="tx1"/>
            </w14:solidFill>
          </w14:textFill>
        </w:rPr>
      </w:pPr>
      <w:bookmarkStart w:id="35" w:name="_Toc16060"/>
      <w:r>
        <w:rPr>
          <w:rFonts w:hint="eastAsia" w:ascii="黑体" w:hAnsi="黑体" w:eastAsia="黑体" w:cs="黑体"/>
          <w:b w:val="0"/>
          <w:bCs/>
          <w:color w:val="000000" w:themeColor="text1"/>
          <w:sz w:val="30"/>
          <w:szCs w:val="30"/>
          <w14:textFill>
            <w14:solidFill>
              <w14:schemeClr w14:val="tx1"/>
            </w14:solidFill>
          </w14:textFill>
        </w:rPr>
        <w:t>七、教学进程总体安排</w:t>
      </w:r>
      <w:bookmarkEnd w:id="35"/>
    </w:p>
    <w:p>
      <w:pPr>
        <w:pStyle w:val="84"/>
        <w:spacing w:line="560" w:lineRule="exact"/>
        <w:outlineLvl w:val="1"/>
        <w:rPr>
          <w:rFonts w:ascii="楷体_GB2312" w:hAnsi="楷体_GB2312" w:eastAsia="楷体_GB2312" w:cs="楷体_GB2312"/>
          <w:b w:val="0"/>
          <w:bCs/>
          <w:color w:val="000000" w:themeColor="text1"/>
          <w:sz w:val="30"/>
          <w:szCs w:val="30"/>
          <w14:textFill>
            <w14:solidFill>
              <w14:schemeClr w14:val="tx1"/>
            </w14:solidFill>
          </w14:textFill>
        </w:rPr>
      </w:pPr>
      <w:bookmarkStart w:id="36" w:name="_Toc18477"/>
      <w:r>
        <w:rPr>
          <w:rFonts w:hint="eastAsia" w:ascii="楷体_GB2312" w:hAnsi="楷体_GB2312" w:eastAsia="楷体_GB2312" w:cs="楷体_GB2312"/>
          <w:b w:val="0"/>
          <w:bCs/>
          <w:color w:val="000000" w:themeColor="text1"/>
          <w:sz w:val="30"/>
          <w:szCs w:val="30"/>
          <w14:textFill>
            <w14:solidFill>
              <w14:schemeClr w14:val="tx1"/>
            </w14:solidFill>
          </w14:textFill>
        </w:rPr>
        <w:t>（一）教育教学时间安排表</w:t>
      </w:r>
      <w:bookmarkEnd w:id="36"/>
    </w:p>
    <w:tbl>
      <w:tblPr>
        <w:tblStyle w:val="27"/>
        <w:tblW w:w="8792"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30"/>
        <w:gridCol w:w="916"/>
        <w:gridCol w:w="916"/>
        <w:gridCol w:w="916"/>
        <w:gridCol w:w="916"/>
        <w:gridCol w:w="919"/>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303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教育教学活动</w:t>
            </w:r>
          </w:p>
        </w:tc>
        <w:tc>
          <w:tcPr>
            <w:tcW w:w="5762" w:type="dxa"/>
            <w:gridSpan w:val="6"/>
            <w:tcBorders>
              <w:top w:val="single" w:color="000000" w:sz="4" w:space="0"/>
              <w:left w:val="single" w:color="auto" w:sz="4" w:space="0"/>
              <w:bottom w:val="single" w:color="000000" w:sz="4" w:space="0"/>
              <w:right w:val="single" w:color="000000" w:sz="4" w:space="0"/>
            </w:tcBorders>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各学期周数分配（周）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03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仿宋_GB2312" w:eastAsia="仿宋_GB2312" w:cs="仿宋_GB2312"/>
                <w:b/>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w:t>
            </w:r>
          </w:p>
        </w:tc>
        <w:tc>
          <w:tcPr>
            <w:tcW w:w="916"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w:t>
            </w:r>
          </w:p>
        </w:tc>
        <w:tc>
          <w:tcPr>
            <w:tcW w:w="916"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三</w:t>
            </w:r>
          </w:p>
        </w:tc>
        <w:tc>
          <w:tcPr>
            <w:tcW w:w="916"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四</w:t>
            </w:r>
          </w:p>
        </w:tc>
        <w:tc>
          <w:tcPr>
            <w:tcW w:w="919"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五</w:t>
            </w:r>
          </w:p>
        </w:tc>
        <w:tc>
          <w:tcPr>
            <w:tcW w:w="1179"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3030" w:type="dxa"/>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课程教学（理论、实践）</w:t>
            </w:r>
          </w:p>
        </w:tc>
        <w:tc>
          <w:tcPr>
            <w:tcW w:w="916" w:type="dxa"/>
            <w:vMerge w:val="restart"/>
            <w:tcBorders>
              <w:top w:val="single" w:color="auto" w:sz="4" w:space="0"/>
              <w:left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w:t>
            </w:r>
          </w:p>
        </w:tc>
        <w:tc>
          <w:tcPr>
            <w:tcW w:w="916" w:type="dxa"/>
            <w:vMerge w:val="restart"/>
            <w:tcBorders>
              <w:top w:val="single" w:color="auto" w:sz="4" w:space="0"/>
              <w:left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w:t>
            </w:r>
          </w:p>
        </w:tc>
        <w:tc>
          <w:tcPr>
            <w:tcW w:w="916" w:type="dxa"/>
            <w:vMerge w:val="restart"/>
            <w:tcBorders>
              <w:top w:val="single" w:color="auto" w:sz="4" w:space="0"/>
              <w:left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w:t>
            </w:r>
          </w:p>
        </w:tc>
        <w:tc>
          <w:tcPr>
            <w:tcW w:w="916" w:type="dxa"/>
            <w:vMerge w:val="restart"/>
            <w:tcBorders>
              <w:top w:val="single" w:color="auto" w:sz="4" w:space="0"/>
              <w:left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w:t>
            </w:r>
          </w:p>
        </w:tc>
        <w:tc>
          <w:tcPr>
            <w:tcW w:w="919" w:type="dxa"/>
            <w:vMerge w:val="restart"/>
            <w:tcBorders>
              <w:top w:val="single" w:color="auto" w:sz="4" w:space="0"/>
              <w:left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w:t>
            </w:r>
          </w:p>
        </w:tc>
        <w:tc>
          <w:tcPr>
            <w:tcW w:w="1179" w:type="dxa"/>
            <w:vMerge w:val="restart"/>
            <w:tcBorders>
              <w:top w:val="single" w:color="auto" w:sz="4" w:space="0"/>
              <w:left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3030"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阶段性实践教学</w:t>
            </w:r>
          </w:p>
        </w:tc>
        <w:tc>
          <w:tcPr>
            <w:tcW w:w="916" w:type="dxa"/>
            <w:vMerge w:val="continue"/>
            <w:tcBorders>
              <w:left w:val="single" w:color="auto" w:sz="4" w:space="0"/>
              <w:right w:val="single" w:color="auto" w:sz="4" w:space="0"/>
            </w:tcBorders>
            <w:vAlign w:val="center"/>
          </w:tcPr>
          <w:p>
            <w:pPr>
              <w:spacing w:line="360" w:lineRule="auto"/>
              <w:rPr>
                <w:rFonts w:ascii="仿宋_GB2312" w:hAnsi="仿宋_GB2312" w:eastAsia="仿宋_GB2312" w:cs="仿宋_GB2312"/>
                <w:color w:val="000000" w:themeColor="text1"/>
                <w:sz w:val="24"/>
                <w:szCs w:val="24"/>
                <w14:textFill>
                  <w14:solidFill>
                    <w14:schemeClr w14:val="tx1"/>
                  </w14:solidFill>
                </w14:textFill>
              </w:rPr>
            </w:pPr>
          </w:p>
        </w:tc>
        <w:tc>
          <w:tcPr>
            <w:tcW w:w="916" w:type="dxa"/>
            <w:vMerge w:val="continue"/>
            <w:tcBorders>
              <w:left w:val="single" w:color="auto" w:sz="4" w:space="0"/>
              <w:right w:val="single" w:color="auto" w:sz="4" w:space="0"/>
            </w:tcBorders>
            <w:vAlign w:val="center"/>
          </w:tcPr>
          <w:p>
            <w:pPr>
              <w:spacing w:line="360" w:lineRule="auto"/>
              <w:rPr>
                <w:rFonts w:ascii="仿宋_GB2312" w:hAnsi="仿宋_GB2312" w:eastAsia="仿宋_GB2312" w:cs="仿宋_GB2312"/>
                <w:color w:val="000000" w:themeColor="text1"/>
                <w:sz w:val="24"/>
                <w:szCs w:val="24"/>
                <w14:textFill>
                  <w14:solidFill>
                    <w14:schemeClr w14:val="tx1"/>
                  </w14:solidFill>
                </w14:textFill>
              </w:rPr>
            </w:pPr>
          </w:p>
        </w:tc>
        <w:tc>
          <w:tcPr>
            <w:tcW w:w="916" w:type="dxa"/>
            <w:vMerge w:val="continue"/>
            <w:tcBorders>
              <w:left w:val="single" w:color="auto" w:sz="4" w:space="0"/>
              <w:right w:val="single" w:color="auto" w:sz="4" w:space="0"/>
            </w:tcBorders>
            <w:vAlign w:val="center"/>
          </w:tcPr>
          <w:p>
            <w:pPr>
              <w:spacing w:line="360" w:lineRule="auto"/>
              <w:rPr>
                <w:rFonts w:ascii="仿宋_GB2312" w:hAnsi="仿宋_GB2312" w:eastAsia="仿宋_GB2312" w:cs="仿宋_GB2312"/>
                <w:color w:val="000000" w:themeColor="text1"/>
                <w:sz w:val="24"/>
                <w:szCs w:val="24"/>
                <w14:textFill>
                  <w14:solidFill>
                    <w14:schemeClr w14:val="tx1"/>
                  </w14:solidFill>
                </w14:textFill>
              </w:rPr>
            </w:pPr>
          </w:p>
        </w:tc>
        <w:tc>
          <w:tcPr>
            <w:tcW w:w="916" w:type="dxa"/>
            <w:vMerge w:val="continue"/>
            <w:tcBorders>
              <w:left w:val="single" w:color="auto" w:sz="4" w:space="0"/>
              <w:right w:val="single" w:color="auto" w:sz="4" w:space="0"/>
            </w:tcBorders>
            <w:vAlign w:val="center"/>
          </w:tcPr>
          <w:p>
            <w:pPr>
              <w:spacing w:line="360" w:lineRule="auto"/>
              <w:rPr>
                <w:rFonts w:ascii="仿宋_GB2312" w:hAnsi="仿宋_GB2312" w:eastAsia="仿宋_GB2312" w:cs="仿宋_GB2312"/>
                <w:color w:val="000000" w:themeColor="text1"/>
                <w:sz w:val="24"/>
                <w:szCs w:val="24"/>
                <w14:textFill>
                  <w14:solidFill>
                    <w14:schemeClr w14:val="tx1"/>
                  </w14:solidFill>
                </w14:textFill>
              </w:rPr>
            </w:pPr>
          </w:p>
        </w:tc>
        <w:tc>
          <w:tcPr>
            <w:tcW w:w="919" w:type="dxa"/>
            <w:vMerge w:val="continue"/>
            <w:tcBorders>
              <w:left w:val="single" w:color="auto" w:sz="4" w:space="0"/>
              <w:right w:val="single" w:color="auto" w:sz="4" w:space="0"/>
            </w:tcBorders>
          </w:tcPr>
          <w:p>
            <w:pPr>
              <w:spacing w:line="360" w:lineRule="auto"/>
              <w:rPr>
                <w:rFonts w:ascii="仿宋_GB2312" w:hAnsi="仿宋_GB2312" w:eastAsia="仿宋_GB2312" w:cs="仿宋_GB2312"/>
                <w:color w:val="000000" w:themeColor="text1"/>
                <w:sz w:val="24"/>
                <w:szCs w:val="24"/>
                <w14:textFill>
                  <w14:solidFill>
                    <w14:schemeClr w14:val="tx1"/>
                  </w14:solidFill>
                </w14:textFill>
              </w:rPr>
            </w:pPr>
          </w:p>
        </w:tc>
        <w:tc>
          <w:tcPr>
            <w:tcW w:w="1179" w:type="dxa"/>
            <w:vMerge w:val="continue"/>
            <w:tcBorders>
              <w:left w:val="single" w:color="auto" w:sz="4" w:space="0"/>
              <w:right w:val="single" w:color="000000" w:sz="4" w:space="0"/>
            </w:tcBorders>
          </w:tcPr>
          <w:p>
            <w:pPr>
              <w:spacing w:line="360" w:lineRule="auto"/>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trPr>
        <w:tc>
          <w:tcPr>
            <w:tcW w:w="30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职业技能培训及技能鉴定</w:t>
            </w:r>
          </w:p>
        </w:tc>
        <w:tc>
          <w:tcPr>
            <w:tcW w:w="916" w:type="dxa"/>
            <w:vMerge w:val="continue"/>
            <w:tcBorders>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6" w:type="dxa"/>
            <w:vMerge w:val="continue"/>
            <w:tcBorders>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6" w:type="dxa"/>
            <w:vMerge w:val="continue"/>
            <w:tcBorders>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6" w:type="dxa"/>
            <w:vMerge w:val="continue"/>
            <w:tcBorders>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9" w:type="dxa"/>
            <w:vMerge w:val="continue"/>
            <w:tcBorders>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1179" w:type="dxa"/>
            <w:vMerge w:val="continue"/>
            <w:tcBorders>
              <w:left w:val="single" w:color="auto" w:sz="4" w:space="0"/>
              <w:right w:val="single" w:color="000000"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30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复习与考试</w:t>
            </w:r>
          </w:p>
        </w:tc>
        <w:tc>
          <w:tcPr>
            <w:tcW w:w="916"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916"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916"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916"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919"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179" w:type="dxa"/>
            <w:vMerge w:val="continue"/>
            <w:tcBorders>
              <w:left w:val="single" w:color="auto" w:sz="4" w:space="0"/>
              <w:right w:val="single" w:color="000000" w:sz="4" w:space="0"/>
            </w:tcBorders>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030" w:type="dxa"/>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劳动实践/机动</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919"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p>
        </w:tc>
        <w:tc>
          <w:tcPr>
            <w:tcW w:w="1179" w:type="dxa"/>
            <w:vMerge w:val="continue"/>
            <w:tcBorders>
              <w:left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3030"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军训（入学教育）</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9"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1179" w:type="dxa"/>
            <w:vMerge w:val="continue"/>
            <w:tcBorders>
              <w:left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3030" w:type="dxa"/>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顶岗实习</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919"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1179" w:type="dxa"/>
            <w:vMerge w:val="continue"/>
            <w:tcBorders>
              <w:left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3030" w:type="dxa"/>
            <w:tcBorders>
              <w:top w:val="single" w:color="auto"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合         计</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916"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919"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w:t>
            </w:r>
          </w:p>
        </w:tc>
        <w:tc>
          <w:tcPr>
            <w:tcW w:w="1179" w:type="dxa"/>
            <w:vMerge w:val="continue"/>
            <w:tcBorders>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r>
    </w:tbl>
    <w:p>
      <w:pPr>
        <w:pStyle w:val="84"/>
        <w:spacing w:line="560" w:lineRule="exact"/>
        <w:outlineLvl w:val="1"/>
        <w:rPr>
          <w:rFonts w:ascii="楷体_GB2312" w:hAnsi="楷体_GB2312" w:eastAsia="楷体_GB2312" w:cs="楷体_GB2312"/>
          <w:b w:val="0"/>
          <w:bCs/>
          <w:color w:val="000000" w:themeColor="text1"/>
          <w:sz w:val="32"/>
          <w:szCs w:val="32"/>
          <w14:textFill>
            <w14:solidFill>
              <w14:schemeClr w14:val="tx1"/>
            </w14:solidFill>
          </w14:textFill>
        </w:rPr>
      </w:pPr>
      <w:bookmarkStart w:id="37" w:name="_Toc20608"/>
      <w:r>
        <w:rPr>
          <w:rFonts w:hint="eastAsia" w:ascii="楷体_GB2312" w:hAnsi="楷体_GB2312" w:eastAsia="楷体_GB2312" w:cs="楷体_GB2312"/>
          <w:b w:val="0"/>
          <w:bCs/>
          <w:color w:val="000000" w:themeColor="text1"/>
          <w:sz w:val="30"/>
          <w:szCs w:val="30"/>
          <w14:textFill>
            <w14:solidFill>
              <w14:schemeClr w14:val="tx1"/>
            </w14:solidFill>
          </w14:textFill>
        </w:rPr>
        <w:t>（二）理论与实践教学学时分配表</w:t>
      </w:r>
      <w:bookmarkEnd w:id="37"/>
    </w:p>
    <w:tbl>
      <w:tblPr>
        <w:tblStyle w:val="27"/>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9"/>
        <w:gridCol w:w="1795"/>
        <w:gridCol w:w="992"/>
        <w:gridCol w:w="1417"/>
        <w:gridCol w:w="1134"/>
        <w:gridCol w:w="1132"/>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2764"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课  程  分  类</w:t>
            </w:r>
          </w:p>
        </w:tc>
        <w:tc>
          <w:tcPr>
            <w:tcW w:w="992" w:type="dxa"/>
            <w:vMerge w:val="restart"/>
            <w:tcBorders>
              <w:top w:val="single" w:color="000000"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总学时</w:t>
            </w:r>
          </w:p>
        </w:tc>
        <w:tc>
          <w:tcPr>
            <w:tcW w:w="2551" w:type="dxa"/>
            <w:gridSpan w:val="2"/>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理  论  教  学</w:t>
            </w:r>
          </w:p>
        </w:tc>
        <w:tc>
          <w:tcPr>
            <w:tcW w:w="2425" w:type="dxa"/>
            <w:gridSpan w:val="2"/>
            <w:tcBorders>
              <w:top w:val="single" w:color="000000"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实  践  教  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276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p>
        </w:tc>
        <w:tc>
          <w:tcPr>
            <w:tcW w:w="1417"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学 时</w:t>
            </w:r>
          </w:p>
        </w:tc>
        <w:tc>
          <w:tcPr>
            <w:tcW w:w="1134"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学时比例%</w:t>
            </w:r>
          </w:p>
        </w:tc>
        <w:tc>
          <w:tcPr>
            <w:tcW w:w="1132"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学 时</w:t>
            </w:r>
          </w:p>
        </w:tc>
        <w:tc>
          <w:tcPr>
            <w:tcW w:w="1293"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b/>
                <w:color w:val="000000" w:themeColor="text1"/>
                <w:sz w:val="24"/>
                <w:szCs w:val="24"/>
                <w14:textFill>
                  <w14:solidFill>
                    <w14:schemeClr w14:val="tx1"/>
                  </w14:solidFill>
                </w14:textFill>
              </w:rPr>
            </w:pPr>
            <w:r>
              <w:rPr>
                <w:rFonts w:hint="eastAsia" w:ascii="仿宋_GB2312" w:hAnsi="仿宋_GB2312" w:eastAsia="仿宋_GB2312" w:cs="仿宋_GB2312"/>
                <w:b/>
                <w:color w:val="000000" w:themeColor="text1"/>
                <w:sz w:val="24"/>
                <w:szCs w:val="24"/>
                <w14:textFill>
                  <w14:solidFill>
                    <w14:schemeClr w14:val="tx1"/>
                  </w14:solidFill>
                </w14:textFill>
              </w:rPr>
              <w:t>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969" w:type="dxa"/>
            <w:vMerge w:val="restart"/>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必</w:t>
            </w:r>
          </w:p>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修</w:t>
            </w:r>
          </w:p>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课</w:t>
            </w:r>
          </w:p>
        </w:tc>
        <w:tc>
          <w:tcPr>
            <w:tcW w:w="1795"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公共基础课</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r>
              <w:rPr>
                <w:rFonts w:ascii="仿宋_GB2312" w:hAnsi="仿宋_GB2312" w:eastAsia="仿宋_GB2312" w:cs="仿宋_GB2312"/>
                <w:color w:val="000000" w:themeColor="text1"/>
                <w:sz w:val="24"/>
                <w:szCs w:val="24"/>
                <w14:textFill>
                  <w14:solidFill>
                    <w14:schemeClr w14:val="tx1"/>
                  </w14:solidFill>
                </w14:textFill>
              </w:rPr>
              <w:t>02</w:t>
            </w:r>
          </w:p>
        </w:tc>
        <w:tc>
          <w:tcPr>
            <w:tcW w:w="1417"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r>
              <w:rPr>
                <w:rFonts w:ascii="仿宋_GB2312" w:hAnsi="仿宋_GB2312" w:eastAsia="仿宋_GB2312" w:cs="仿宋_GB2312"/>
                <w:color w:val="000000" w:themeColor="text1"/>
                <w:sz w:val="24"/>
                <w:szCs w:val="24"/>
                <w14:textFill>
                  <w14:solidFill>
                    <w14:schemeClr w14:val="tx1"/>
                  </w14:solidFill>
                </w14:textFill>
              </w:rPr>
              <w:t>30</w:t>
            </w:r>
          </w:p>
        </w:tc>
        <w:tc>
          <w:tcPr>
            <w:tcW w:w="1134"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r>
              <w:rPr>
                <w:rFonts w:ascii="仿宋_GB2312" w:hAnsi="仿宋_GB2312" w:eastAsia="仿宋_GB2312" w:cs="仿宋_GB2312"/>
                <w:color w:val="000000" w:themeColor="text1"/>
                <w:sz w:val="24"/>
                <w:szCs w:val="24"/>
                <w14:textFill>
                  <w14:solidFill>
                    <w14:schemeClr w14:val="tx1"/>
                  </w14:solidFill>
                </w14:textFill>
              </w:rPr>
              <w:t>1.2%</w:t>
            </w:r>
          </w:p>
        </w:tc>
        <w:tc>
          <w:tcPr>
            <w:tcW w:w="113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ascii="仿宋_GB2312" w:hAnsi="仿宋_GB2312" w:eastAsia="仿宋_GB2312" w:cs="仿宋_GB2312"/>
                <w:color w:val="000000" w:themeColor="text1"/>
                <w:sz w:val="24"/>
                <w:szCs w:val="24"/>
                <w14:textFill>
                  <w14:solidFill>
                    <w14:schemeClr w14:val="tx1"/>
                  </w14:solidFill>
                </w14:textFill>
              </w:rPr>
              <w:t>72</w:t>
            </w:r>
          </w:p>
        </w:tc>
        <w:tc>
          <w:tcPr>
            <w:tcW w:w="12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ascii="仿宋_GB2312" w:hAnsi="仿宋_GB2312" w:eastAsia="仿宋_GB2312" w:cs="仿宋_GB2312"/>
                <w:color w:val="000000" w:themeColor="text1"/>
                <w:sz w:val="24"/>
                <w:szCs w:val="24"/>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69" w:type="dxa"/>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p>
        </w:tc>
        <w:tc>
          <w:tcPr>
            <w:tcW w:w="1795"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专业（技能）课</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1900</w:t>
            </w:r>
          </w:p>
        </w:tc>
        <w:tc>
          <w:tcPr>
            <w:tcW w:w="1417"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r>
              <w:rPr>
                <w:rFonts w:ascii="仿宋_GB2312" w:hAnsi="仿宋_GB2312" w:eastAsia="仿宋_GB2312" w:cs="仿宋_GB2312"/>
                <w:color w:val="000000" w:themeColor="text1"/>
                <w:sz w:val="24"/>
                <w:szCs w:val="24"/>
                <w14:textFill>
                  <w14:solidFill>
                    <w14:schemeClr w14:val="tx1"/>
                  </w14:solidFill>
                </w14:textFill>
              </w:rPr>
              <w:t>44</w:t>
            </w:r>
          </w:p>
        </w:tc>
        <w:tc>
          <w:tcPr>
            <w:tcW w:w="1134"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ascii="仿宋_GB2312" w:hAnsi="仿宋_GB2312" w:eastAsia="仿宋_GB2312" w:cs="仿宋_GB2312"/>
                <w:color w:val="000000" w:themeColor="text1"/>
                <w:sz w:val="24"/>
                <w:szCs w:val="24"/>
                <w14:textFill>
                  <w14:solidFill>
                    <w14:schemeClr w14:val="tx1"/>
                  </w14:solidFill>
                </w14:textFill>
              </w:rPr>
              <w:t>3.4%</w:t>
            </w:r>
          </w:p>
        </w:tc>
        <w:tc>
          <w:tcPr>
            <w:tcW w:w="113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1456</w:t>
            </w:r>
          </w:p>
        </w:tc>
        <w:tc>
          <w:tcPr>
            <w:tcW w:w="12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r>
              <w:rPr>
                <w:rFonts w:ascii="仿宋_GB2312" w:hAnsi="仿宋_GB2312" w:eastAsia="仿宋_GB2312" w:cs="仿宋_GB2312"/>
                <w:color w:val="000000" w:themeColor="text1"/>
                <w:sz w:val="24"/>
                <w:szCs w:val="24"/>
                <w14:textFill>
                  <w14:solidFill>
                    <w14:schemeClr w14:val="tx1"/>
                  </w14:solidFill>
                </w14:textFill>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69" w:type="dxa"/>
            <w:vMerge w:val="restart"/>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选</w:t>
            </w:r>
          </w:p>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修</w:t>
            </w:r>
          </w:p>
          <w:p>
            <w:pPr>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课</w:t>
            </w:r>
          </w:p>
        </w:tc>
        <w:tc>
          <w:tcPr>
            <w:tcW w:w="1795"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公共基础课</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w:t>
            </w:r>
            <w:r>
              <w:rPr>
                <w:rFonts w:ascii="仿宋_GB2312" w:hAnsi="仿宋_GB2312" w:eastAsia="仿宋_GB2312" w:cs="仿宋_GB2312"/>
                <w:color w:val="000000" w:themeColor="text1"/>
                <w:sz w:val="24"/>
                <w:szCs w:val="24"/>
                <w14:textFill>
                  <w14:solidFill>
                    <w14:schemeClr w14:val="tx1"/>
                  </w14:solidFill>
                </w14:textFill>
              </w:rPr>
              <w:t>6</w:t>
            </w:r>
          </w:p>
        </w:tc>
        <w:tc>
          <w:tcPr>
            <w:tcW w:w="1417"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r>
              <w:rPr>
                <w:rFonts w:ascii="仿宋_GB2312" w:hAnsi="仿宋_GB2312" w:eastAsia="仿宋_GB2312" w:cs="仿宋_GB2312"/>
                <w:color w:val="000000" w:themeColor="text1"/>
                <w:sz w:val="24"/>
                <w:szCs w:val="24"/>
                <w14:textFill>
                  <w14:solidFill>
                    <w14:schemeClr w14:val="tx1"/>
                  </w14:solidFill>
                </w14:textFill>
              </w:rPr>
              <w:t>4</w:t>
            </w:r>
          </w:p>
        </w:tc>
        <w:tc>
          <w:tcPr>
            <w:tcW w:w="1134"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r>
              <w:rPr>
                <w:rFonts w:ascii="仿宋_GB2312" w:hAnsi="仿宋_GB2312" w:eastAsia="仿宋_GB2312" w:cs="仿宋_GB2312"/>
                <w:color w:val="000000" w:themeColor="text1"/>
                <w:sz w:val="24"/>
                <w:szCs w:val="24"/>
                <w14:textFill>
                  <w14:solidFill>
                    <w14:schemeClr w14:val="tx1"/>
                  </w14:solidFill>
                </w14:textFill>
              </w:rPr>
              <w:t>6.7%</w:t>
            </w:r>
          </w:p>
        </w:tc>
        <w:tc>
          <w:tcPr>
            <w:tcW w:w="113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ascii="仿宋_GB2312" w:hAnsi="仿宋_GB2312" w:eastAsia="仿宋_GB2312" w:cs="仿宋_GB2312"/>
                <w:color w:val="000000" w:themeColor="text1"/>
                <w:sz w:val="24"/>
                <w:szCs w:val="24"/>
                <w14:textFill>
                  <w14:solidFill>
                    <w14:schemeClr w14:val="tx1"/>
                  </w14:solidFill>
                </w14:textFill>
              </w:rPr>
              <w:t>2</w:t>
            </w:r>
          </w:p>
        </w:tc>
        <w:tc>
          <w:tcPr>
            <w:tcW w:w="12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ascii="仿宋_GB2312" w:hAnsi="仿宋_GB2312" w:eastAsia="仿宋_GB2312" w:cs="仿宋_GB2312"/>
                <w:color w:val="000000" w:themeColor="text1"/>
                <w:sz w:val="24"/>
                <w:szCs w:val="24"/>
                <w14:textFill>
                  <w14:solidFill>
                    <w14:schemeClr w14:val="tx1"/>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96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p>
        </w:tc>
        <w:tc>
          <w:tcPr>
            <w:tcW w:w="1795" w:type="dxa"/>
            <w:tcBorders>
              <w:top w:val="single" w:color="auto" w:sz="4" w:space="0"/>
              <w:left w:val="single" w:color="auto" w:sz="4" w:space="0"/>
              <w:bottom w:val="single" w:color="000000"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专业（技能）课</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ascii="仿宋_GB2312" w:hAnsi="仿宋_GB2312" w:eastAsia="仿宋_GB2312" w:cs="仿宋_GB2312"/>
                <w:color w:val="000000" w:themeColor="text1"/>
                <w:sz w:val="24"/>
                <w:szCs w:val="24"/>
                <w14:textFill>
                  <w14:solidFill>
                    <w14:schemeClr w14:val="tx1"/>
                  </w14:solidFill>
                </w14:textFill>
              </w:rPr>
              <w:t>24</w:t>
            </w:r>
          </w:p>
        </w:tc>
        <w:tc>
          <w:tcPr>
            <w:tcW w:w="1417"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ascii="仿宋_GB2312" w:hAnsi="仿宋_GB2312" w:eastAsia="仿宋_GB2312" w:cs="仿宋_GB2312"/>
                <w:color w:val="000000" w:themeColor="text1"/>
                <w:sz w:val="24"/>
                <w:szCs w:val="24"/>
                <w14:textFill>
                  <w14:solidFill>
                    <w14:schemeClr w14:val="tx1"/>
                  </w14:solidFill>
                </w14:textFill>
              </w:rPr>
              <w:t>52</w:t>
            </w:r>
          </w:p>
        </w:tc>
        <w:tc>
          <w:tcPr>
            <w:tcW w:w="1134"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r>
              <w:rPr>
                <w:rFonts w:ascii="仿宋_GB2312" w:hAnsi="仿宋_GB2312" w:eastAsia="仿宋_GB2312" w:cs="仿宋_GB2312"/>
                <w:color w:val="000000" w:themeColor="text1"/>
                <w:sz w:val="24"/>
                <w:szCs w:val="24"/>
                <w14:textFill>
                  <w14:solidFill>
                    <w14:schemeClr w14:val="tx1"/>
                  </w14:solidFill>
                </w14:textFill>
              </w:rPr>
              <w:t>7.9%</w:t>
            </w:r>
          </w:p>
        </w:tc>
        <w:tc>
          <w:tcPr>
            <w:tcW w:w="113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r>
              <w:rPr>
                <w:rFonts w:ascii="仿宋_GB2312" w:hAnsi="仿宋_GB2312" w:eastAsia="仿宋_GB2312" w:cs="仿宋_GB2312"/>
                <w:color w:val="000000" w:themeColor="text1"/>
                <w:sz w:val="24"/>
                <w:szCs w:val="24"/>
                <w14:textFill>
                  <w14:solidFill>
                    <w14:schemeClr w14:val="tx1"/>
                  </w14:solidFill>
                </w14:textFill>
              </w:rPr>
              <w:t>2</w:t>
            </w:r>
          </w:p>
        </w:tc>
        <w:tc>
          <w:tcPr>
            <w:tcW w:w="1293"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ascii="仿宋_GB2312" w:hAnsi="仿宋_GB2312" w:eastAsia="仿宋_GB2312" w:cs="仿宋_GB2312"/>
                <w:color w:val="000000" w:themeColor="text1"/>
                <w:sz w:val="24"/>
                <w:szCs w:val="24"/>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764" w:type="dxa"/>
            <w:gridSpan w:val="2"/>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合         计</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ascii="仿宋_GB2312" w:hAnsi="仿宋_GB2312" w:eastAsia="仿宋_GB2312" w:cs="仿宋_GB2312"/>
                <w:color w:val="000000" w:themeColor="text1"/>
                <w:sz w:val="24"/>
                <w:szCs w:val="24"/>
                <w14:textFill>
                  <w14:solidFill>
                    <w14:schemeClr w14:val="tx1"/>
                  </w14:solidFill>
                </w14:textFill>
              </w:rPr>
              <w:t>922</w:t>
            </w:r>
          </w:p>
        </w:tc>
        <w:tc>
          <w:tcPr>
            <w:tcW w:w="1417"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ascii="仿宋_GB2312" w:hAnsi="仿宋_GB2312" w:eastAsia="仿宋_GB2312" w:cs="仿宋_GB2312"/>
                <w:color w:val="000000" w:themeColor="text1"/>
                <w:sz w:val="24"/>
                <w:szCs w:val="24"/>
                <w14:textFill>
                  <w14:solidFill>
                    <w14:schemeClr w14:val="tx1"/>
                  </w14:solidFill>
                </w14:textFill>
              </w:rPr>
              <w:t>090</w:t>
            </w:r>
          </w:p>
        </w:tc>
        <w:tc>
          <w:tcPr>
            <w:tcW w:w="1134"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ascii="仿宋_GB2312" w:hAnsi="仿宋_GB2312" w:eastAsia="仿宋_GB2312" w:cs="仿宋_GB2312"/>
                <w:color w:val="000000" w:themeColor="text1"/>
                <w:sz w:val="24"/>
                <w:szCs w:val="24"/>
                <w14:textFill>
                  <w14:solidFill>
                    <w14:schemeClr w14:val="tx1"/>
                  </w14:solidFill>
                </w14:textFill>
              </w:rPr>
              <w:t>7.3%</w:t>
            </w:r>
          </w:p>
        </w:tc>
        <w:tc>
          <w:tcPr>
            <w:tcW w:w="113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ascii="仿宋_GB2312" w:hAnsi="仿宋_GB2312" w:eastAsia="仿宋_GB2312" w:cs="仿宋_GB2312"/>
                <w:color w:val="000000" w:themeColor="text1"/>
                <w:sz w:val="24"/>
                <w:szCs w:val="24"/>
                <w14:textFill>
                  <w14:solidFill>
                    <w14:schemeClr w14:val="tx1"/>
                  </w14:solidFill>
                </w14:textFill>
              </w:rPr>
              <w:t>832</w:t>
            </w:r>
          </w:p>
        </w:tc>
        <w:tc>
          <w:tcPr>
            <w:tcW w:w="1293"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w:t>
            </w:r>
            <w:r>
              <w:rPr>
                <w:rFonts w:ascii="仿宋_GB2312" w:hAnsi="仿宋_GB2312" w:eastAsia="仿宋_GB2312" w:cs="仿宋_GB2312"/>
                <w:color w:val="000000" w:themeColor="text1"/>
                <w:sz w:val="24"/>
                <w:szCs w:val="24"/>
                <w14:textFill>
                  <w14:solidFill>
                    <w14:schemeClr w14:val="tx1"/>
                  </w14:solidFill>
                </w14:textFill>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764" w:type="dxa"/>
            <w:gridSpan w:val="2"/>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公共基础课总学时</w:t>
            </w:r>
          </w:p>
        </w:tc>
        <w:tc>
          <w:tcPr>
            <w:tcW w:w="240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w:t>
            </w:r>
            <w:r>
              <w:rPr>
                <w:rFonts w:ascii="仿宋_GB2312" w:hAnsi="仿宋_GB2312" w:eastAsia="仿宋_GB2312" w:cs="仿宋_GB2312"/>
                <w:color w:val="000000" w:themeColor="text1"/>
                <w:sz w:val="24"/>
                <w:szCs w:val="24"/>
                <w14:textFill>
                  <w14:solidFill>
                    <w14:schemeClr w14:val="tx1"/>
                  </w14:solidFill>
                </w14:textFill>
              </w:rPr>
              <w:t>98</w:t>
            </w:r>
          </w:p>
        </w:tc>
        <w:tc>
          <w:tcPr>
            <w:tcW w:w="226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公共基础课学时比例</w:t>
            </w:r>
          </w:p>
        </w:tc>
        <w:tc>
          <w:tcPr>
            <w:tcW w:w="1293"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ascii="仿宋_GB2312" w:hAnsi="仿宋_GB2312" w:eastAsia="仿宋_GB2312" w:cs="仿宋_GB2312"/>
                <w:color w:val="000000" w:themeColor="text1"/>
                <w:sz w:val="24"/>
                <w:szCs w:val="24"/>
                <w14:textFill>
                  <w14:solidFill>
                    <w14:schemeClr w14:val="tx1"/>
                  </w14:solidFill>
                </w14:textFill>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764" w:type="dxa"/>
            <w:gridSpan w:val="2"/>
            <w:tcBorders>
              <w:top w:val="single" w:color="auto" w:sz="4" w:space="0"/>
              <w:left w:val="single" w:color="000000" w:sz="4" w:space="0"/>
              <w:bottom w:val="single" w:color="auto" w:sz="4" w:space="0"/>
              <w:right w:val="single" w:color="000000" w:sz="4" w:space="0"/>
            </w:tcBorders>
            <w:vAlign w:val="center"/>
          </w:tcPr>
          <w:p>
            <w:pPr>
              <w:spacing w:line="360" w:lineRule="auto"/>
              <w:jc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选修课教学总学时</w:t>
            </w:r>
          </w:p>
        </w:tc>
        <w:tc>
          <w:tcPr>
            <w:tcW w:w="240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ascii="仿宋_GB2312" w:hAnsi="仿宋_GB2312" w:eastAsia="仿宋_GB2312" w:cs="仿宋_GB2312"/>
                <w:color w:val="000000" w:themeColor="text1"/>
                <w:sz w:val="24"/>
                <w:szCs w:val="24"/>
                <w14:textFill>
                  <w14:solidFill>
                    <w14:schemeClr w14:val="tx1"/>
                  </w14:solidFill>
                </w14:textFill>
              </w:rPr>
              <w:t>20</w:t>
            </w:r>
          </w:p>
        </w:tc>
        <w:tc>
          <w:tcPr>
            <w:tcW w:w="226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选修课教学学时比例</w:t>
            </w:r>
          </w:p>
        </w:tc>
        <w:tc>
          <w:tcPr>
            <w:tcW w:w="1293"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ascii="仿宋_GB2312" w:hAnsi="仿宋_GB2312" w:eastAsia="仿宋_GB2312" w:cs="仿宋_GB2312"/>
                <w:color w:val="000000" w:themeColor="text1"/>
                <w:sz w:val="24"/>
                <w:szCs w:val="24"/>
                <w14:textFill>
                  <w14:solidFill>
                    <w14:schemeClr w14:val="tx1"/>
                  </w14:solidFill>
                </w14:textFill>
              </w:rPr>
              <w:t>0.9%</w:t>
            </w:r>
          </w:p>
        </w:tc>
      </w:tr>
    </w:tbl>
    <w:p>
      <w:pPr>
        <w:spacing w:line="360" w:lineRule="auto"/>
        <w:ind w:firstLine="422"/>
        <w:jc w:val="center"/>
        <w:rPr>
          <w:rFonts w:ascii="宋体" w:hAnsi="宋体"/>
          <w:b/>
          <w:color w:val="000000" w:themeColor="text1"/>
          <w14:textFill>
            <w14:solidFill>
              <w14:schemeClr w14:val="tx1"/>
            </w14:solidFill>
          </w14:textFill>
        </w:rPr>
        <w:sectPr>
          <w:footerReference r:id="rId4" w:type="default"/>
          <w:pgSz w:w="11906" w:h="16838"/>
          <w:pgMar w:top="2098" w:right="1474" w:bottom="1984" w:left="1587" w:header="851" w:footer="992" w:gutter="0"/>
          <w:cols w:space="720" w:num="1"/>
          <w:docGrid w:type="lines" w:linePitch="312" w:charSpace="0"/>
        </w:sectPr>
      </w:pPr>
    </w:p>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bookmarkStart w:id="38" w:name="_Toc22338"/>
      <w:r>
        <w:rPr>
          <w:rFonts w:hint="eastAsia" w:ascii="楷体_GB2312" w:hAnsi="楷体_GB2312" w:eastAsia="楷体_GB2312" w:cs="楷体_GB2312"/>
          <w:b w:val="0"/>
          <w:bCs/>
          <w:color w:val="000000" w:themeColor="text1"/>
          <w:sz w:val="28"/>
          <w:szCs w:val="28"/>
          <w14:textFill>
            <w14:solidFill>
              <w14:schemeClr w14:val="tx1"/>
            </w14:solidFill>
          </w14:textFill>
        </w:rPr>
        <w:t>（三）教学进度安排计划表----必修课程设置及学分、学时、进程表</w:t>
      </w:r>
      <w:bookmarkEnd w:id="38"/>
    </w:p>
    <w:tbl>
      <w:tblPr>
        <w:tblStyle w:val="28"/>
        <w:tblW w:w="14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475"/>
        <w:gridCol w:w="535"/>
        <w:gridCol w:w="1222"/>
        <w:gridCol w:w="2259"/>
        <w:gridCol w:w="693"/>
        <w:gridCol w:w="658"/>
        <w:gridCol w:w="642"/>
        <w:gridCol w:w="522"/>
        <w:gridCol w:w="522"/>
        <w:gridCol w:w="522"/>
        <w:gridCol w:w="583"/>
        <w:gridCol w:w="583"/>
        <w:gridCol w:w="583"/>
        <w:gridCol w:w="583"/>
        <w:gridCol w:w="583"/>
        <w:gridCol w:w="588"/>
        <w:gridCol w:w="386"/>
        <w:gridCol w:w="1061"/>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blHeader/>
          <w:jc w:val="center"/>
        </w:trPr>
        <w:tc>
          <w:tcPr>
            <w:tcW w:w="949" w:type="dxa"/>
            <w:gridSpan w:val="2"/>
            <w:vMerge w:val="restart"/>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课程</w:t>
            </w:r>
          </w:p>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类别</w:t>
            </w:r>
          </w:p>
        </w:tc>
        <w:tc>
          <w:tcPr>
            <w:tcW w:w="535" w:type="dxa"/>
            <w:vMerge w:val="restart"/>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序号</w:t>
            </w:r>
          </w:p>
        </w:tc>
        <w:tc>
          <w:tcPr>
            <w:tcW w:w="1222" w:type="dxa"/>
            <w:vMerge w:val="restart"/>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课程代码</w:t>
            </w:r>
          </w:p>
        </w:tc>
        <w:tc>
          <w:tcPr>
            <w:tcW w:w="2259" w:type="dxa"/>
            <w:vMerge w:val="restart"/>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课程名称</w:t>
            </w:r>
          </w:p>
        </w:tc>
        <w:tc>
          <w:tcPr>
            <w:tcW w:w="1351" w:type="dxa"/>
            <w:gridSpan w:val="2"/>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课程性质</w:t>
            </w:r>
          </w:p>
        </w:tc>
        <w:tc>
          <w:tcPr>
            <w:tcW w:w="642" w:type="dxa"/>
            <w:vMerge w:val="restart"/>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学分</w:t>
            </w:r>
          </w:p>
        </w:tc>
        <w:tc>
          <w:tcPr>
            <w:tcW w:w="1566" w:type="dxa"/>
            <w:gridSpan w:val="3"/>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教学课时</w:t>
            </w:r>
          </w:p>
        </w:tc>
        <w:tc>
          <w:tcPr>
            <w:tcW w:w="3503" w:type="dxa"/>
            <w:gridSpan w:val="6"/>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教学进程(学期、教学活动周数</w:t>
            </w:r>
          </w:p>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课堂教学周数）</w:t>
            </w:r>
          </w:p>
        </w:tc>
        <w:tc>
          <w:tcPr>
            <w:tcW w:w="386" w:type="dxa"/>
            <w:vMerge w:val="restart"/>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课程</w:t>
            </w:r>
          </w:p>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考核</w:t>
            </w:r>
          </w:p>
        </w:tc>
        <w:tc>
          <w:tcPr>
            <w:tcW w:w="1061" w:type="dxa"/>
            <w:vMerge w:val="restart"/>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开课</w:t>
            </w:r>
          </w:p>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部门</w:t>
            </w:r>
          </w:p>
        </w:tc>
        <w:tc>
          <w:tcPr>
            <w:tcW w:w="1312" w:type="dxa"/>
            <w:vMerge w:val="restart"/>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949" w:type="dxa"/>
            <w:gridSpan w:val="2"/>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122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2259"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693" w:type="dxa"/>
            <w:vMerge w:val="restart"/>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课程</w:t>
            </w:r>
          </w:p>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类型(A/B</w:t>
            </w:r>
          </w:p>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658" w:type="dxa"/>
            <w:vMerge w:val="restart"/>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是否</w:t>
            </w:r>
          </w:p>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理实</w:t>
            </w:r>
          </w:p>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一体</w:t>
            </w:r>
          </w:p>
        </w:tc>
        <w:tc>
          <w:tcPr>
            <w:tcW w:w="64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22" w:type="dxa"/>
            <w:vMerge w:val="restart"/>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总计</w:t>
            </w:r>
          </w:p>
        </w:tc>
        <w:tc>
          <w:tcPr>
            <w:tcW w:w="522" w:type="dxa"/>
            <w:vMerge w:val="restart"/>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理论</w:t>
            </w:r>
          </w:p>
        </w:tc>
        <w:tc>
          <w:tcPr>
            <w:tcW w:w="522" w:type="dxa"/>
            <w:vMerge w:val="restart"/>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实践</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1学期</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2学期</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3学期</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4学期</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5学期</w:t>
            </w:r>
          </w:p>
        </w:tc>
        <w:tc>
          <w:tcPr>
            <w:tcW w:w="58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6学期</w:t>
            </w:r>
          </w:p>
        </w:tc>
        <w:tc>
          <w:tcPr>
            <w:tcW w:w="386"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1061"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131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blHeader/>
          <w:jc w:val="center"/>
        </w:trPr>
        <w:tc>
          <w:tcPr>
            <w:tcW w:w="949" w:type="dxa"/>
            <w:gridSpan w:val="2"/>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122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2259"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693"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658"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64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2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2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2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20</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20</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20</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20</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20</w:t>
            </w:r>
          </w:p>
        </w:tc>
        <w:tc>
          <w:tcPr>
            <w:tcW w:w="588" w:type="dxa"/>
            <w:vAlign w:val="center"/>
          </w:tcPr>
          <w:p>
            <w:pPr>
              <w:widowControl/>
              <w:jc w:val="center"/>
              <w:textAlignment w:val="center"/>
              <w:rPr>
                <w:rFonts w:ascii="楷体_GB2312" w:hAnsi="楷体_GB2312" w:eastAsia="宋体" w:cs="楷体_GB2312"/>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26</w:t>
            </w:r>
          </w:p>
        </w:tc>
        <w:tc>
          <w:tcPr>
            <w:tcW w:w="386"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1061"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131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jc w:val="center"/>
        </w:trPr>
        <w:tc>
          <w:tcPr>
            <w:tcW w:w="949" w:type="dxa"/>
            <w:gridSpan w:val="2"/>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122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2259"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693"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658"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64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2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2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2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16</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18</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18</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18</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18</w:t>
            </w:r>
          </w:p>
        </w:tc>
        <w:tc>
          <w:tcPr>
            <w:tcW w:w="58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26</w:t>
            </w:r>
          </w:p>
        </w:tc>
        <w:tc>
          <w:tcPr>
            <w:tcW w:w="386"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1061"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131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restart"/>
            <w:textDirection w:val="tbRlV"/>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公    共    基    础    课</w:t>
            </w:r>
          </w:p>
        </w:tc>
        <w:tc>
          <w:tcPr>
            <w:tcW w:w="475" w:type="dxa"/>
            <w:vMerge w:val="restart"/>
            <w:textDirection w:val="tbRlV"/>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公    共    必    修    课</w:t>
            </w: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1</w:t>
            </w:r>
          </w:p>
        </w:tc>
        <w:tc>
          <w:tcPr>
            <w:tcW w:w="122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bidi="ar"/>
              </w:rPr>
              <w:t>14501184001</w:t>
            </w:r>
          </w:p>
        </w:tc>
        <w:tc>
          <w:tcPr>
            <w:tcW w:w="2259"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形势与政策I</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0.25</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ascii="宋体" w:hAnsi="宋体" w:eastAsia="宋体" w:cs="宋体"/>
                <w:color w:val="000000" w:themeColor="text1"/>
                <w:kern w:val="0"/>
                <w:sz w:val="18"/>
                <w:szCs w:val="18"/>
                <w14:textFill>
                  <w14:solidFill>
                    <w14:schemeClr w14:val="tx1"/>
                  </w14:solidFill>
                </w14:textFill>
              </w:rPr>
              <w:t>每学期以专题讲座形式开展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2</w:t>
            </w:r>
          </w:p>
        </w:tc>
        <w:tc>
          <w:tcPr>
            <w:tcW w:w="122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bidi="ar"/>
              </w:rPr>
              <w:t>14501184002</w:t>
            </w:r>
          </w:p>
        </w:tc>
        <w:tc>
          <w:tcPr>
            <w:tcW w:w="2259"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形势与政策II</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0.25</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每学期以专题讲座形式开展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3</w:t>
            </w:r>
          </w:p>
        </w:tc>
        <w:tc>
          <w:tcPr>
            <w:tcW w:w="122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bidi="ar"/>
              </w:rPr>
              <w:t>14501184003</w:t>
            </w:r>
          </w:p>
        </w:tc>
        <w:tc>
          <w:tcPr>
            <w:tcW w:w="2259"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形势与政策III</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0.25</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每学期以专题讲座形式开展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4</w:t>
            </w:r>
          </w:p>
        </w:tc>
        <w:tc>
          <w:tcPr>
            <w:tcW w:w="122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bidi="ar"/>
              </w:rPr>
              <w:t>14501184004</w:t>
            </w:r>
          </w:p>
        </w:tc>
        <w:tc>
          <w:tcPr>
            <w:tcW w:w="2259"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形势与政策IV</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0.25</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每学期以专题讲座形式开展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5</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14501184005</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形势与政策（专题）</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0.25</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每学期以专题讲座形式开展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6</w:t>
            </w:r>
          </w:p>
        </w:tc>
        <w:tc>
          <w:tcPr>
            <w:tcW w:w="122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bidi="ar"/>
              </w:rPr>
              <w:t>14501184006</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军训Ⅱ</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65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4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90</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90</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学生</w:t>
            </w:r>
          </w:p>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工作处</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7</w:t>
            </w:r>
          </w:p>
        </w:tc>
        <w:tc>
          <w:tcPr>
            <w:tcW w:w="122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bidi="ar"/>
              </w:rPr>
              <w:t>14501184007</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军事理论</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E</w:t>
            </w:r>
          </w:p>
        </w:tc>
        <w:tc>
          <w:tcPr>
            <w:tcW w:w="1061"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学生</w:t>
            </w:r>
          </w:p>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工作处</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8</w:t>
            </w:r>
          </w:p>
        </w:tc>
        <w:tc>
          <w:tcPr>
            <w:tcW w:w="122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bidi="ar"/>
              </w:rPr>
              <w:t>14501184008</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劳动教育</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E</w:t>
            </w:r>
          </w:p>
        </w:tc>
        <w:tc>
          <w:tcPr>
            <w:tcW w:w="1061"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学生</w:t>
            </w:r>
          </w:p>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工作处</w:t>
            </w:r>
          </w:p>
        </w:tc>
        <w:tc>
          <w:tcPr>
            <w:tcW w:w="1312" w:type="dxa"/>
            <w:vAlign w:val="center"/>
          </w:tcPr>
          <w:p>
            <w:pPr>
              <w:widowControl/>
              <w:jc w:val="center"/>
              <w:textAlignment w:val="center"/>
              <w:rPr>
                <w:rFonts w:ascii="宋体" w:hAnsi="宋体" w:eastAsia="宋体" w:cs="宋体"/>
                <w:color w:val="000000" w:themeColor="text1"/>
                <w:kern w:val="0"/>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c>
          <w:tcPr>
            <w:tcW w:w="122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bidi="ar"/>
              </w:rPr>
              <w:t>14501184009</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思想道德与法治</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w:t>
            </w:r>
          </w:p>
        </w:tc>
        <w:tc>
          <w:tcPr>
            <w:tcW w:w="65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w:t>
            </w:r>
          </w:p>
        </w:tc>
        <w:tc>
          <w:tcPr>
            <w:tcW w:w="1061"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w:t>
            </w:r>
          </w:p>
        </w:tc>
        <w:tc>
          <w:tcPr>
            <w:tcW w:w="1222"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kern w:val="0"/>
                <w:sz w:val="18"/>
                <w:szCs w:val="18"/>
                <w:lang w:bidi="ar"/>
              </w:rPr>
              <w:t>14501184010</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思想政治理论课</w:t>
            </w:r>
          </w:p>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实践教学</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w:t>
            </w:r>
          </w:p>
        </w:tc>
        <w:tc>
          <w:tcPr>
            <w:tcW w:w="65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w:t>
            </w:r>
          </w:p>
        </w:tc>
        <w:tc>
          <w:tcPr>
            <w:tcW w:w="1222"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kern w:val="0"/>
                <w:sz w:val="18"/>
                <w:szCs w:val="18"/>
                <w:lang w:bidi="ar"/>
              </w:rPr>
              <w:t>14501184011</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铸牢中华民族</w:t>
            </w:r>
          </w:p>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共同体意识</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w:t>
            </w:r>
          </w:p>
        </w:tc>
        <w:tc>
          <w:tcPr>
            <w:tcW w:w="65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restart"/>
            <w:textDirection w:val="tbRlV"/>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公    共    基    础    课</w:t>
            </w:r>
          </w:p>
        </w:tc>
        <w:tc>
          <w:tcPr>
            <w:tcW w:w="475" w:type="dxa"/>
            <w:vMerge w:val="restart"/>
            <w:textDirection w:val="tbRlV"/>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公    共    必    修    课</w:t>
            </w:r>
          </w:p>
        </w:tc>
        <w:tc>
          <w:tcPr>
            <w:tcW w:w="535" w:type="dxa"/>
            <w:vAlign w:val="bottom"/>
          </w:tcPr>
          <w:p>
            <w:pPr>
              <w:pStyle w:val="84"/>
              <w:outlineLvl w:val="1"/>
              <w:rPr>
                <w:rFonts w:ascii="楷体_GB2312" w:hAnsi="楷体_GB2312" w:eastAsia="楷体_GB2312" w:cs="楷体_GB2312"/>
                <w:b w:val="0"/>
                <w:bCs/>
                <w:color w:val="000000" w:themeColor="text1"/>
                <w:sz w:val="21"/>
                <w:szCs w:val="21"/>
                <w14:textFill>
                  <w14:solidFill>
                    <w14:schemeClr w14:val="tx1"/>
                  </w14:solidFill>
                </w14:textFill>
              </w:rPr>
            </w:pPr>
            <w:r>
              <w:rPr>
                <w:rFonts w:hint="eastAsia" w:cs="宋体"/>
                <w:b w:val="0"/>
                <w:bCs/>
                <w:color w:val="000000"/>
                <w:kern w:val="0"/>
                <w:sz w:val="21"/>
                <w:szCs w:val="21"/>
                <w:lang w:bidi="ar"/>
              </w:rPr>
              <w:t>12</w:t>
            </w:r>
          </w:p>
        </w:tc>
        <w:tc>
          <w:tcPr>
            <w:tcW w:w="1222"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kern w:val="0"/>
                <w:sz w:val="18"/>
                <w:szCs w:val="18"/>
                <w:lang w:bidi="ar"/>
              </w:rPr>
              <w:t>14501184012</w:t>
            </w:r>
          </w:p>
        </w:tc>
        <w:tc>
          <w:tcPr>
            <w:tcW w:w="2259"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习近平新时代中国特色社会主义思想概论</w:t>
            </w:r>
          </w:p>
        </w:tc>
        <w:tc>
          <w:tcPr>
            <w:tcW w:w="69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w:t>
            </w:r>
          </w:p>
        </w:tc>
        <w:tc>
          <w:tcPr>
            <w:tcW w:w="65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64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48</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48</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386"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13</w:t>
            </w:r>
          </w:p>
        </w:tc>
        <w:tc>
          <w:tcPr>
            <w:tcW w:w="1222"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kern w:val="0"/>
                <w:sz w:val="18"/>
                <w:szCs w:val="18"/>
                <w:lang w:bidi="ar"/>
              </w:rPr>
              <w:t>14501184013</w:t>
            </w:r>
          </w:p>
        </w:tc>
        <w:tc>
          <w:tcPr>
            <w:tcW w:w="2259"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毛泽东思想和中国特色社会主义理论体系概论</w:t>
            </w:r>
          </w:p>
        </w:tc>
        <w:tc>
          <w:tcPr>
            <w:tcW w:w="69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w:t>
            </w:r>
          </w:p>
        </w:tc>
        <w:tc>
          <w:tcPr>
            <w:tcW w:w="65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64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386"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14</w:t>
            </w:r>
          </w:p>
        </w:tc>
        <w:tc>
          <w:tcPr>
            <w:tcW w:w="1222"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kern w:val="0"/>
                <w:sz w:val="18"/>
                <w:szCs w:val="18"/>
                <w:lang w:bidi="ar"/>
              </w:rPr>
              <w:t>14501184014</w:t>
            </w:r>
          </w:p>
        </w:tc>
        <w:tc>
          <w:tcPr>
            <w:tcW w:w="2259"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职业发展与就业指导</w:t>
            </w:r>
          </w:p>
        </w:tc>
        <w:tc>
          <w:tcPr>
            <w:tcW w:w="69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5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64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14</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386"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15</w:t>
            </w:r>
          </w:p>
        </w:tc>
        <w:tc>
          <w:tcPr>
            <w:tcW w:w="122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bidi="ar"/>
              </w:rPr>
              <w:t>14501184015</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高职英语Ⅰ</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5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4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20</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12</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1061"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16</w:t>
            </w:r>
          </w:p>
        </w:tc>
        <w:tc>
          <w:tcPr>
            <w:tcW w:w="122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bidi="ar"/>
              </w:rPr>
              <w:t>14501184016</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高职英语Ⅱ</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5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4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20</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12</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1061"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17</w:t>
            </w:r>
          </w:p>
        </w:tc>
        <w:tc>
          <w:tcPr>
            <w:tcW w:w="122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bidi="ar"/>
              </w:rPr>
              <w:t>14501184017</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信息技术Ⅰ（高职）</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5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64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30</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18</w:t>
            </w:r>
          </w:p>
        </w:tc>
        <w:tc>
          <w:tcPr>
            <w:tcW w:w="122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bidi="ar"/>
              </w:rPr>
              <w:t>14501184018</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信息技术Ⅱ（高职）</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5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64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30</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19</w:t>
            </w:r>
          </w:p>
        </w:tc>
        <w:tc>
          <w:tcPr>
            <w:tcW w:w="122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bidi="ar"/>
              </w:rPr>
              <w:t>14501184019</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高职实用语文</w:t>
            </w:r>
            <w:r>
              <w:rPr>
                <w:rFonts w:hint="eastAsia" w:ascii="宋体" w:hAnsi="宋体" w:eastAsia="宋体" w:cs="宋体"/>
                <w:bCs/>
                <w:color w:val="000000" w:themeColor="text1"/>
                <w:kern w:val="0"/>
                <w:szCs w:val="21"/>
                <w14:textFill>
                  <w14:solidFill>
                    <w14:schemeClr w14:val="tx1"/>
                  </w14:solidFill>
                </w14:textFill>
              </w:rPr>
              <w:t>Ⅰ</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1061"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20</w:t>
            </w:r>
          </w:p>
        </w:tc>
        <w:tc>
          <w:tcPr>
            <w:tcW w:w="122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bidi="ar"/>
              </w:rPr>
              <w:t>14501184020</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高职实用语文</w:t>
            </w:r>
            <w:r>
              <w:rPr>
                <w:rFonts w:hint="eastAsia" w:ascii="宋体" w:hAnsi="宋体" w:eastAsia="宋体" w:cs="宋体"/>
                <w:bCs/>
                <w:color w:val="000000" w:themeColor="text1"/>
                <w:kern w:val="0"/>
                <w:szCs w:val="21"/>
                <w14:textFill>
                  <w14:solidFill>
                    <w14:schemeClr w14:val="tx1"/>
                  </w14:solidFill>
                </w14:textFill>
              </w:rPr>
              <w:t>Ⅱ</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1061"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21</w:t>
            </w:r>
          </w:p>
        </w:tc>
        <w:tc>
          <w:tcPr>
            <w:tcW w:w="122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bidi="ar"/>
              </w:rPr>
              <w:t>14501184021</w:t>
            </w:r>
          </w:p>
        </w:tc>
        <w:tc>
          <w:tcPr>
            <w:tcW w:w="2259"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体育与健康Ⅰ</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5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64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30</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22</w:t>
            </w:r>
          </w:p>
        </w:tc>
        <w:tc>
          <w:tcPr>
            <w:tcW w:w="122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bidi="ar"/>
              </w:rPr>
              <w:t>14501184022</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体育与健康Ⅱ</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5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64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30</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23</w:t>
            </w:r>
          </w:p>
        </w:tc>
        <w:tc>
          <w:tcPr>
            <w:tcW w:w="122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bidi="ar"/>
              </w:rPr>
              <w:t>14501184023</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高职数学</w:t>
            </w:r>
            <w:r>
              <w:rPr>
                <w:rFonts w:hint="eastAsia" w:ascii="宋体" w:hAnsi="宋体" w:eastAsia="宋体" w:cs="宋体"/>
                <w:bCs/>
                <w:color w:val="000000" w:themeColor="text1"/>
                <w:kern w:val="0"/>
                <w:szCs w:val="21"/>
                <w14:textFill>
                  <w14:solidFill>
                    <w14:schemeClr w14:val="tx1"/>
                  </w14:solidFill>
                </w14:textFill>
              </w:rPr>
              <w:t>Ⅰ</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1061"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理科限选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restart"/>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color w:val="000000" w:themeColor="text1"/>
                <w:kern w:val="0"/>
                <w:sz w:val="21"/>
                <w:szCs w:val="21"/>
                <w14:textFill>
                  <w14:solidFill>
                    <w14:schemeClr w14:val="tx1"/>
                  </w14:solidFill>
                </w14:textFill>
              </w:rPr>
              <w:t>公    共    基    础    课</w:t>
            </w:r>
          </w:p>
        </w:tc>
        <w:tc>
          <w:tcPr>
            <w:tcW w:w="475" w:type="dxa"/>
            <w:vMerge w:val="restart"/>
            <w:vAlign w:val="center"/>
          </w:tcPr>
          <w:p>
            <w:pPr>
              <w:pStyle w:val="84"/>
              <w:outlineLvl w:val="1"/>
              <w:rPr>
                <w:rFonts w:ascii="楷体_GB2312" w:hAnsi="楷体_GB2312" w:eastAsia="楷体_GB2312" w:cs="楷体_GB2312"/>
                <w:b w:val="0"/>
                <w:bCs/>
                <w:color w:val="000000" w:themeColor="text1"/>
                <w:sz w:val="21"/>
                <w:szCs w:val="21"/>
                <w14:textFill>
                  <w14:solidFill>
                    <w14:schemeClr w14:val="tx1"/>
                  </w14:solidFill>
                </w14:textFill>
              </w:rPr>
            </w:pPr>
            <w:r>
              <w:rPr>
                <w:rFonts w:hint="eastAsia" w:cs="宋体"/>
                <w:b w:val="0"/>
                <w:bCs/>
                <w:color w:val="000000"/>
                <w:kern w:val="0"/>
                <w:sz w:val="21"/>
                <w:szCs w:val="21"/>
                <w:lang w:bidi="ar"/>
              </w:rPr>
              <w:t>公共必修课</w:t>
            </w: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24</w:t>
            </w:r>
          </w:p>
        </w:tc>
        <w:tc>
          <w:tcPr>
            <w:tcW w:w="122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bidi="ar"/>
              </w:rPr>
              <w:t>14501184024</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高职数学</w:t>
            </w:r>
            <w:r>
              <w:rPr>
                <w:rFonts w:hint="eastAsia" w:ascii="宋体" w:hAnsi="宋体" w:eastAsia="宋体" w:cs="宋体"/>
                <w:bCs/>
                <w:color w:val="000000" w:themeColor="text1"/>
                <w:kern w:val="0"/>
                <w:szCs w:val="21"/>
                <w14:textFill>
                  <w14:solidFill>
                    <w14:schemeClr w14:val="tx1"/>
                  </w14:solidFill>
                </w14:textFill>
              </w:rPr>
              <w:t>Ⅱ</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1061"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理科限选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25</w:t>
            </w:r>
          </w:p>
        </w:tc>
        <w:tc>
          <w:tcPr>
            <w:tcW w:w="122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bidi="ar"/>
              </w:rPr>
              <w:t>14501184025</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心理健康教育</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w:t>
            </w:r>
          </w:p>
        </w:tc>
        <w:tc>
          <w:tcPr>
            <w:tcW w:w="65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28</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学生</w:t>
            </w:r>
          </w:p>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工作处</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kern w:val="0"/>
                <w:szCs w:val="21"/>
                <w:lang w:bidi="ar"/>
              </w:rPr>
              <w:t>26</w:t>
            </w:r>
          </w:p>
        </w:tc>
        <w:tc>
          <w:tcPr>
            <w:tcW w:w="122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bidi="ar"/>
              </w:rPr>
              <w:t>14501184026</w:t>
            </w:r>
          </w:p>
        </w:tc>
        <w:tc>
          <w:tcPr>
            <w:tcW w:w="2259"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大学生安全教育</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5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8</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kern w:val="0"/>
                <w:szCs w:val="21"/>
                <w:lang w:bidi="ar"/>
              </w:rPr>
              <w:t>27</w:t>
            </w:r>
          </w:p>
        </w:tc>
        <w:tc>
          <w:tcPr>
            <w:tcW w:w="1222" w:type="dxa"/>
            <w:vAlign w:val="center"/>
          </w:tcPr>
          <w:p>
            <w:pPr>
              <w:widowControl/>
              <w:jc w:val="center"/>
              <w:textAlignment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lang w:bidi="ar"/>
              </w:rPr>
              <w:t>14501184027</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创新与创业教育</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B</w:t>
            </w:r>
          </w:p>
        </w:tc>
        <w:tc>
          <w:tcPr>
            <w:tcW w:w="65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24</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42" w:type="dxa"/>
            <w:gridSpan w:val="6"/>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公共必修课小计</w:t>
            </w:r>
          </w:p>
        </w:tc>
        <w:tc>
          <w:tcPr>
            <w:tcW w:w="64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42</w:t>
            </w:r>
          </w:p>
        </w:tc>
        <w:tc>
          <w:tcPr>
            <w:tcW w:w="522" w:type="dxa"/>
            <w:tcFitText/>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spacing w:val="1"/>
                <w:w w:val="93"/>
                <w:kern w:val="0"/>
                <w:szCs w:val="21"/>
                <w14:textFill>
                  <w14:solidFill>
                    <w14:schemeClr w14:val="tx1"/>
                  </w14:solidFill>
                </w14:textFill>
              </w:rPr>
              <w:t>70</w:t>
            </w:r>
            <w:r>
              <w:rPr>
                <w:rFonts w:hint="eastAsia" w:ascii="宋体" w:hAnsi="宋体" w:eastAsia="宋体" w:cs="宋体"/>
                <w:bCs/>
                <w:color w:val="000000" w:themeColor="text1"/>
                <w:w w:val="93"/>
                <w:kern w:val="0"/>
                <w:szCs w:val="21"/>
                <w14:textFill>
                  <w14:solidFill>
                    <w14:schemeClr w14:val="tx1"/>
                  </w14:solidFill>
                </w14:textFill>
              </w:rPr>
              <w:t>2</w:t>
            </w:r>
          </w:p>
        </w:tc>
        <w:tc>
          <w:tcPr>
            <w:tcW w:w="522" w:type="dxa"/>
            <w:tcFitText/>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spacing w:val="1"/>
                <w:w w:val="93"/>
                <w:kern w:val="0"/>
                <w:szCs w:val="21"/>
                <w14:textFill>
                  <w14:solidFill>
                    <w14:schemeClr w14:val="tx1"/>
                  </w14:solidFill>
                </w14:textFill>
              </w:rPr>
              <w:t>4</w:t>
            </w:r>
            <w:r>
              <w:rPr>
                <w:rFonts w:hint="eastAsia" w:ascii="宋体" w:hAnsi="宋体" w:eastAsia="宋体" w:cs="宋体"/>
                <w:bCs/>
                <w:color w:val="000000" w:themeColor="text1"/>
                <w:w w:val="93"/>
                <w:kern w:val="0"/>
                <w:szCs w:val="21"/>
                <w14:textFill>
                  <w14:solidFill>
                    <w14:schemeClr w14:val="tx1"/>
                  </w14:solidFill>
                </w14:textFill>
              </w:rPr>
              <w:t>30</w:t>
            </w:r>
          </w:p>
        </w:tc>
        <w:tc>
          <w:tcPr>
            <w:tcW w:w="522" w:type="dxa"/>
            <w:tcFitText/>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spacing w:val="1"/>
                <w:w w:val="93"/>
                <w:kern w:val="0"/>
                <w:szCs w:val="21"/>
                <w14:textFill>
                  <w14:solidFill>
                    <w14:schemeClr w14:val="tx1"/>
                  </w14:solidFill>
                </w14:textFill>
              </w:rPr>
              <w:t>27</w:t>
            </w:r>
            <w:r>
              <w:rPr>
                <w:rFonts w:hint="eastAsia" w:ascii="宋体" w:hAnsi="宋体" w:eastAsia="宋体" w:cs="宋体"/>
                <w:bCs/>
                <w:color w:val="000000" w:themeColor="text1"/>
                <w:w w:val="93"/>
                <w:kern w:val="0"/>
                <w:szCs w:val="21"/>
                <w14:textFill>
                  <w14:solidFill>
                    <w14:schemeClr w14:val="tx1"/>
                  </w14:solidFill>
                </w14:textFill>
              </w:rPr>
              <w:t>2</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18</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58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58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386" w:type="dxa"/>
            <w:tcFitText/>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1061"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restart"/>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000000" w:themeColor="text1"/>
                <w:sz w:val="21"/>
                <w:szCs w:val="21"/>
                <w14:textFill>
                  <w14:solidFill>
                    <w14:schemeClr w14:val="tx1"/>
                  </w14:solidFill>
                </w14:textFill>
              </w:rPr>
              <w:t>公共选修课</w:t>
            </w: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1</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14501185001</w:t>
            </w:r>
          </w:p>
        </w:tc>
        <w:tc>
          <w:tcPr>
            <w:tcW w:w="2259"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党史</w:t>
            </w:r>
          </w:p>
        </w:tc>
        <w:tc>
          <w:tcPr>
            <w:tcW w:w="69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64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0.5</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386"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Merge w:val="restart"/>
            <w:vAlign w:val="center"/>
          </w:tcPr>
          <w:p>
            <w:pPr>
              <w:pStyle w:val="84"/>
              <w:jc w:val="left"/>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000000" w:themeColor="text1"/>
                <w:kern w:val="0"/>
                <w:sz w:val="21"/>
                <w:szCs w:val="21"/>
                <w14:textFill>
                  <w14:solidFill>
                    <w14:schemeClr w14:val="tx1"/>
                  </w14:solidFill>
                </w14:textFill>
              </w:rPr>
              <w:t>“四史”教育任选其一，上课为4周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2</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14501185002</w:t>
            </w:r>
          </w:p>
        </w:tc>
        <w:tc>
          <w:tcPr>
            <w:tcW w:w="2259"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新中国史</w:t>
            </w:r>
          </w:p>
        </w:tc>
        <w:tc>
          <w:tcPr>
            <w:tcW w:w="69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64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0.5</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386"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3</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14501185003</w:t>
            </w:r>
          </w:p>
        </w:tc>
        <w:tc>
          <w:tcPr>
            <w:tcW w:w="2259"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改革开放史</w:t>
            </w:r>
          </w:p>
        </w:tc>
        <w:tc>
          <w:tcPr>
            <w:tcW w:w="69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64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0.5</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386"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4</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14501185004</w:t>
            </w:r>
          </w:p>
        </w:tc>
        <w:tc>
          <w:tcPr>
            <w:tcW w:w="2259"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社会主义发展史</w:t>
            </w:r>
          </w:p>
        </w:tc>
        <w:tc>
          <w:tcPr>
            <w:tcW w:w="69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64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0.5</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8"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386"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马克思主义教学部</w:t>
            </w:r>
          </w:p>
        </w:tc>
        <w:tc>
          <w:tcPr>
            <w:tcW w:w="1312"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5</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14501185005</w:t>
            </w:r>
          </w:p>
        </w:tc>
        <w:tc>
          <w:tcPr>
            <w:tcW w:w="2259"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急救与自救（网）</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0.5</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Merge w:val="restart"/>
            <w:vAlign w:val="center"/>
          </w:tcPr>
          <w:p>
            <w:pPr>
              <w:widowControl/>
              <w:jc w:val="left"/>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限选课程，在线学习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6</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14501185006</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中华优秀传统文化（网）</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0.5</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Merge w:val="continue"/>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7</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14501185007</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大学生劳动就业法律问题解读（网）</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0.5</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8</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583"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Merge w:val="continue"/>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restart"/>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color w:val="000000" w:themeColor="text1"/>
                <w:kern w:val="0"/>
                <w:sz w:val="21"/>
                <w:szCs w:val="21"/>
                <w14:textFill>
                  <w14:solidFill>
                    <w14:schemeClr w14:val="tx1"/>
                  </w14:solidFill>
                </w14:textFill>
              </w:rPr>
              <w:t>公    共    基    础    课</w:t>
            </w:r>
          </w:p>
        </w:tc>
        <w:tc>
          <w:tcPr>
            <w:tcW w:w="475" w:type="dxa"/>
            <w:vMerge w:val="restart"/>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000000" w:themeColor="text1"/>
                <w:sz w:val="21"/>
                <w:szCs w:val="21"/>
                <w14:textFill>
                  <w14:solidFill>
                    <w14:schemeClr w14:val="tx1"/>
                  </w14:solidFill>
                </w14:textFill>
              </w:rPr>
              <w:t>公共选修课</w:t>
            </w: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8</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14501185008</w:t>
            </w:r>
          </w:p>
        </w:tc>
        <w:tc>
          <w:tcPr>
            <w:tcW w:w="2259"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国防安全教育</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14501185009</w:t>
            </w:r>
          </w:p>
        </w:tc>
        <w:tc>
          <w:tcPr>
            <w:tcW w:w="2259"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节能减排</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14501185010</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应用文写作</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14501185011</w:t>
            </w:r>
          </w:p>
        </w:tc>
        <w:tc>
          <w:tcPr>
            <w:tcW w:w="2259"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唐诗宋词鉴赏</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bottom"/>
          </w:tcPr>
          <w:p>
            <w:pPr>
              <w:pStyle w:val="84"/>
              <w:outlineLvl w:val="1"/>
              <w:rPr>
                <w:rFonts w:ascii="楷体_GB2312" w:hAnsi="楷体_GB2312" w:eastAsia="楷体_GB2312" w:cs="楷体_GB2312"/>
                <w:b w:val="0"/>
                <w:bCs/>
                <w:color w:val="000000" w:themeColor="text1"/>
                <w:sz w:val="21"/>
                <w:szCs w:val="21"/>
                <w14:textFill>
                  <w14:solidFill>
                    <w14:schemeClr w14:val="tx1"/>
                  </w14:solidFill>
                </w14:textFill>
              </w:rPr>
            </w:pPr>
            <w:r>
              <w:rPr>
                <w:rFonts w:hint="eastAsia" w:cs="宋体"/>
                <w:b w:val="0"/>
                <w:bCs/>
                <w:color w:val="000000"/>
                <w:kern w:val="0"/>
                <w:sz w:val="21"/>
                <w:szCs w:val="21"/>
                <w:lang w:bidi="ar"/>
              </w:rPr>
              <w:t>12</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14501185012</w:t>
            </w:r>
          </w:p>
        </w:tc>
        <w:tc>
          <w:tcPr>
            <w:tcW w:w="2259"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礼仪素养</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13</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14501185013</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普通话</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5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4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8</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8</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14</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14501185014</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社交礼仪</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15</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14501185015</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市场营销</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16</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14501185016</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高职数学（拓展）</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17</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14501185017</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高职实用语文（拓展）</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18</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14501185018</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高职英语（拓展）</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000000"/>
                <w:kern w:val="0"/>
                <w:sz w:val="21"/>
                <w:szCs w:val="21"/>
                <w:lang w:bidi="ar"/>
              </w:rPr>
              <w:t>19</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14501185019</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信息技术（拓展）</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restart"/>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color w:val="000000" w:themeColor="text1"/>
                <w:kern w:val="0"/>
                <w:sz w:val="21"/>
                <w:szCs w:val="21"/>
                <w14:textFill>
                  <w14:solidFill>
                    <w14:schemeClr w14:val="tx1"/>
                  </w14:solidFill>
                </w14:textFill>
              </w:rPr>
              <w:t>公    共    基    础    课</w:t>
            </w:r>
          </w:p>
        </w:tc>
        <w:tc>
          <w:tcPr>
            <w:tcW w:w="475" w:type="dxa"/>
            <w:vMerge w:val="restart"/>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000000" w:themeColor="text1"/>
                <w:sz w:val="21"/>
                <w:szCs w:val="21"/>
                <w14:textFill>
                  <w14:solidFill>
                    <w14:schemeClr w14:val="tx1"/>
                  </w14:solidFill>
                </w14:textFill>
              </w:rPr>
              <w:t>公共选修课</w:t>
            </w: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20</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14501185020</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思想政治理论（拓展）</w:t>
            </w:r>
          </w:p>
        </w:tc>
        <w:tc>
          <w:tcPr>
            <w:tcW w:w="693"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21</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14501185021</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音乐欣赏</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Merge w:val="restart"/>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000000" w:themeColor="text1"/>
                <w:kern w:val="0"/>
                <w:sz w:val="21"/>
                <w:szCs w:val="21"/>
                <w14:textFill>
                  <w14:solidFill>
                    <w14:schemeClr w14:val="tx1"/>
                  </w14:solidFill>
                </w14:textFill>
              </w:rPr>
              <w:t>美育类课程至少选一门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22</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14501185022</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书画艺术欣赏</w:t>
            </w:r>
          </w:p>
        </w:tc>
        <w:tc>
          <w:tcPr>
            <w:tcW w:w="693"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658"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64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23</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14501185023</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舞蹈</w:t>
            </w:r>
          </w:p>
        </w:tc>
        <w:tc>
          <w:tcPr>
            <w:tcW w:w="693"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658"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642"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24</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14501185024</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书法</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65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64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25</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14501185025</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体育（足球）</w:t>
            </w:r>
          </w:p>
        </w:tc>
        <w:tc>
          <w:tcPr>
            <w:tcW w:w="693"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658"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642"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Merge w:val="restart"/>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000000" w:themeColor="text1"/>
                <w:kern w:val="0"/>
                <w:sz w:val="21"/>
                <w:szCs w:val="21"/>
                <w14:textFill>
                  <w14:solidFill>
                    <w14:schemeClr w14:val="tx1"/>
                  </w14:solidFill>
                </w14:textFill>
              </w:rPr>
              <w:t>体育类课程至少选一门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26</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14501185026</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体育（篮球）</w:t>
            </w:r>
          </w:p>
        </w:tc>
        <w:tc>
          <w:tcPr>
            <w:tcW w:w="693"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658"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642"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27</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14501185027</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体育（羽毛球）</w:t>
            </w:r>
          </w:p>
        </w:tc>
        <w:tc>
          <w:tcPr>
            <w:tcW w:w="693"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658"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642"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kern w:val="0"/>
                <w:szCs w:val="21"/>
                <w:lang w:bidi="ar"/>
              </w:rPr>
              <w:t>28</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14501185028</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体育（乒乓球）</w:t>
            </w:r>
          </w:p>
        </w:tc>
        <w:tc>
          <w:tcPr>
            <w:tcW w:w="693"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658"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642"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kern w:val="0"/>
                <w:szCs w:val="21"/>
                <w:lang w:bidi="ar"/>
              </w:rPr>
              <w:t>29</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14501185029</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体育（排球）</w:t>
            </w:r>
          </w:p>
        </w:tc>
        <w:tc>
          <w:tcPr>
            <w:tcW w:w="693"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658"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642"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基础部</w:t>
            </w:r>
          </w:p>
        </w:tc>
        <w:tc>
          <w:tcPr>
            <w:tcW w:w="1312"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kern w:val="0"/>
                <w:szCs w:val="21"/>
                <w:lang w:bidi="ar"/>
              </w:rPr>
              <w:t>30</w:t>
            </w:r>
          </w:p>
        </w:tc>
        <w:tc>
          <w:tcPr>
            <w:tcW w:w="1222"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14501185030</w:t>
            </w:r>
          </w:p>
        </w:tc>
        <w:tc>
          <w:tcPr>
            <w:tcW w:w="2259"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健美操</w:t>
            </w:r>
          </w:p>
        </w:tc>
        <w:tc>
          <w:tcPr>
            <w:tcW w:w="693"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658"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642"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16</w:t>
            </w: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1061"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基础部</w:t>
            </w:r>
          </w:p>
        </w:tc>
        <w:tc>
          <w:tcPr>
            <w:tcW w:w="1312"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42" w:type="dxa"/>
            <w:gridSpan w:val="6"/>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公共选修课小计</w:t>
            </w:r>
          </w:p>
        </w:tc>
        <w:tc>
          <w:tcPr>
            <w:tcW w:w="642" w:type="dxa"/>
            <w:shd w:val="clear" w:color="auto" w:fill="auto"/>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6</w:t>
            </w:r>
          </w:p>
        </w:tc>
        <w:tc>
          <w:tcPr>
            <w:tcW w:w="522" w:type="dxa"/>
            <w:shd w:val="clear" w:color="auto" w:fill="auto"/>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96</w:t>
            </w:r>
          </w:p>
        </w:tc>
        <w:tc>
          <w:tcPr>
            <w:tcW w:w="522" w:type="dxa"/>
            <w:shd w:val="clear" w:color="auto" w:fill="auto"/>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64</w:t>
            </w:r>
          </w:p>
        </w:tc>
        <w:tc>
          <w:tcPr>
            <w:tcW w:w="522" w:type="dxa"/>
            <w:shd w:val="clear" w:color="auto" w:fill="auto"/>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32</w:t>
            </w:r>
          </w:p>
        </w:tc>
        <w:tc>
          <w:tcPr>
            <w:tcW w:w="583" w:type="dxa"/>
            <w:shd w:val="clear" w:color="auto" w:fill="auto"/>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shd w:val="clear" w:color="auto" w:fill="auto"/>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1.5</w:t>
            </w:r>
          </w:p>
        </w:tc>
        <w:tc>
          <w:tcPr>
            <w:tcW w:w="583" w:type="dxa"/>
            <w:shd w:val="clear" w:color="auto" w:fill="auto"/>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1.5</w:t>
            </w:r>
          </w:p>
        </w:tc>
        <w:tc>
          <w:tcPr>
            <w:tcW w:w="583" w:type="dxa"/>
            <w:shd w:val="clear" w:color="auto" w:fill="auto"/>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83" w:type="dxa"/>
            <w:shd w:val="clear" w:color="auto" w:fill="auto"/>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p>
        </w:tc>
        <w:tc>
          <w:tcPr>
            <w:tcW w:w="588" w:type="dxa"/>
            <w:shd w:val="clear" w:color="auto" w:fill="auto"/>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widowControl/>
              <w:jc w:val="center"/>
              <w:textAlignment w:val="center"/>
              <w:rPr>
                <w:rFonts w:ascii="楷体_GB2312" w:hAnsi="楷体_GB2312" w:eastAsia="楷体_GB2312" w:cs="楷体_GB2312"/>
                <w:bCs/>
                <w:color w:val="000000" w:themeColor="text1"/>
                <w:sz w:val="28"/>
                <w:szCs w:val="28"/>
                <w14:textFill>
                  <w14:solidFill>
                    <w14:schemeClr w14:val="tx1"/>
                  </w14:solidFill>
                </w14:textFill>
              </w:rPr>
            </w:pPr>
          </w:p>
        </w:tc>
        <w:tc>
          <w:tcPr>
            <w:tcW w:w="1061" w:type="dxa"/>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restart"/>
            <w:textDirection w:val="tbLrV"/>
            <w:vAlign w:val="center"/>
          </w:tcPr>
          <w:p>
            <w:pPr>
              <w:pStyle w:val="84"/>
              <w:ind w:left="113" w:right="113"/>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color w:val="000000" w:themeColor="text1"/>
                <w:kern w:val="0"/>
                <w:sz w:val="21"/>
                <w:szCs w:val="21"/>
                <w14:textFill>
                  <w14:solidFill>
                    <w14:schemeClr w14:val="tx1"/>
                  </w14:solidFill>
                </w14:textFill>
              </w:rPr>
              <w:t>专  业 （技  能） 课</w:t>
            </w:r>
          </w:p>
        </w:tc>
        <w:tc>
          <w:tcPr>
            <w:tcW w:w="475" w:type="dxa"/>
            <w:vMerge w:val="restart"/>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color w:val="000000" w:themeColor="text1"/>
                <w:kern w:val="0"/>
                <w:sz w:val="21"/>
                <w:szCs w:val="21"/>
                <w14:textFill>
                  <w14:solidFill>
                    <w14:schemeClr w14:val="tx1"/>
                  </w14:solidFill>
                </w14:textFill>
              </w:rPr>
              <w:t>专业必修   课</w:t>
            </w: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1</w:t>
            </w:r>
          </w:p>
        </w:tc>
        <w:tc>
          <w:tcPr>
            <w:tcW w:w="1222" w:type="dxa"/>
          </w:tcPr>
          <w:p>
            <w:pPr>
              <w:jc w:val="center"/>
              <w:outlineLvl w:val="1"/>
              <w:rPr>
                <w:rFonts w:ascii="宋体" w:hAnsi="宋体" w:eastAsia="宋体" w:cs="宋体"/>
                <w:color w:val="000000"/>
                <w:kern w:val="0"/>
                <w:szCs w:val="21"/>
                <w:lang w:bidi="ar"/>
              </w:rPr>
            </w:pPr>
            <w:r>
              <w:rPr>
                <w:rFonts w:ascii="宋体" w:hAnsi="宋体" w:eastAsia="宋体" w:cs="宋体"/>
                <w:color w:val="000000"/>
                <w:kern w:val="0"/>
                <w:szCs w:val="21"/>
                <w:lang w:bidi="ar"/>
              </w:rPr>
              <w:t>14501151500</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机械设计基础</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65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4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6</w:t>
            </w:r>
            <w:r>
              <w:rPr>
                <w:rFonts w:ascii="宋体" w:hAnsi="宋体" w:eastAsia="宋体" w:cs="宋体"/>
                <w:bCs/>
                <w:color w:val="000000" w:themeColor="text1"/>
                <w:kern w:val="0"/>
                <w:szCs w:val="21"/>
                <w14:textFill>
                  <w14:solidFill>
                    <w14:schemeClr w14:val="tx1"/>
                  </w14:solidFill>
                </w14:textFill>
              </w:rPr>
              <w:t>4</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6</w:t>
            </w:r>
            <w:r>
              <w:rPr>
                <w:rFonts w:ascii="宋体" w:hAnsi="宋体" w:eastAsia="宋体" w:cs="宋体"/>
                <w:bCs/>
                <w:color w:val="000000" w:themeColor="text1"/>
                <w:kern w:val="0"/>
                <w:szCs w:val="21"/>
                <w14:textFill>
                  <w14:solidFill>
                    <w14:schemeClr w14:val="tx1"/>
                  </w14:solidFill>
                </w14:textFill>
              </w:rPr>
              <w:t>4</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color w:val="000000" w:themeColor="text1"/>
                <w:kern w:val="0"/>
                <w:sz w:val="21"/>
                <w:szCs w:val="21"/>
                <w14:textFill>
                  <w14:solidFill>
                    <w14:schemeClr w14:val="tx1"/>
                  </w14:solidFill>
                </w14:textFill>
              </w:rPr>
              <w:t>√</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14:textFill>
                  <w14:solidFill>
                    <w14:schemeClr w14:val="tx1"/>
                  </w14:solidFill>
                </w14:textFill>
              </w:rPr>
              <w:t>B</w:t>
            </w:r>
          </w:p>
        </w:tc>
        <w:tc>
          <w:tcPr>
            <w:tcW w:w="1061" w:type="dxa"/>
          </w:tcPr>
          <w:p>
            <w:pPr>
              <w:pStyle w:val="84"/>
              <w:outlineLvl w:val="1"/>
              <w:rPr>
                <w:rFonts w:ascii="楷体_GB2312" w:hAnsi="楷体_GB2312" w:eastAsia="楷体_GB2312" w:cs="楷体_GB2312"/>
                <w:b w:val="0"/>
                <w:bCs/>
                <w:color w:val="000000" w:themeColor="text1"/>
                <w:sz w:val="21"/>
                <w:szCs w:val="21"/>
                <w14:textFill>
                  <w14:solidFill>
                    <w14:schemeClr w14:val="tx1"/>
                  </w14:solidFill>
                </w14:textFill>
              </w:rPr>
            </w:pPr>
            <w:r>
              <w:rPr>
                <w:rFonts w:hint="eastAsia"/>
                <w:b w:val="0"/>
                <w:bCs/>
                <w:sz w:val="21"/>
                <w:szCs w:val="21"/>
              </w:rPr>
              <w:t>机电系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vAlign w:val="center"/>
          </w:tcPr>
          <w:p>
            <w:pPr>
              <w:pStyle w:val="84"/>
              <w:outlineLvl w:val="1"/>
              <w:rPr>
                <w:rFonts w:cs="宋体"/>
                <w:b w:val="0"/>
                <w:color w:val="000000" w:themeColor="text1"/>
                <w:kern w:val="0"/>
                <w:sz w:val="21"/>
                <w:szCs w:val="21"/>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2</w:t>
            </w:r>
          </w:p>
        </w:tc>
        <w:tc>
          <w:tcPr>
            <w:tcW w:w="1222" w:type="dxa"/>
          </w:tcPr>
          <w:p>
            <w:pPr>
              <w:jc w:val="center"/>
              <w:outlineLvl w:val="1"/>
              <w:rPr>
                <w:rFonts w:ascii="宋体" w:hAnsi="宋体" w:eastAsia="宋体" w:cs="宋体"/>
                <w:color w:val="000000"/>
                <w:kern w:val="0"/>
                <w:sz w:val="18"/>
                <w:szCs w:val="18"/>
                <w:lang w:bidi="ar"/>
              </w:rPr>
            </w:pPr>
            <w:r>
              <w:rPr>
                <w:rFonts w:ascii="宋体" w:hAnsi="宋体" w:eastAsia="宋体" w:cs="宋体"/>
                <w:color w:val="000000"/>
                <w:kern w:val="0"/>
                <w:szCs w:val="21"/>
                <w:lang w:bidi="ar"/>
              </w:rPr>
              <w:t>14501151501</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汽车电工电子技术</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58" w:type="dxa"/>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rPr>
              <w:t>√</w:t>
            </w:r>
          </w:p>
        </w:tc>
        <w:tc>
          <w:tcPr>
            <w:tcW w:w="64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6</w:t>
            </w:r>
            <w:r>
              <w:rPr>
                <w:rFonts w:ascii="宋体" w:hAnsi="宋体" w:eastAsia="宋体" w:cs="宋体"/>
                <w:bCs/>
                <w:color w:val="000000" w:themeColor="text1"/>
                <w:kern w:val="0"/>
                <w:szCs w:val="21"/>
                <w14:textFill>
                  <w14:solidFill>
                    <w14:schemeClr w14:val="tx1"/>
                  </w14:solidFill>
                </w14:textFill>
              </w:rPr>
              <w:t>4</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w:t>
            </w:r>
            <w:r>
              <w:rPr>
                <w:rFonts w:ascii="宋体" w:hAnsi="宋体" w:eastAsia="宋体" w:cs="宋体"/>
                <w:bCs/>
                <w:color w:val="000000" w:themeColor="text1"/>
                <w:kern w:val="0"/>
                <w:szCs w:val="21"/>
                <w14:textFill>
                  <w14:solidFill>
                    <w14:schemeClr w14:val="tx1"/>
                  </w14:solidFill>
                </w14:textFill>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w:t>
            </w:r>
            <w:r>
              <w:rPr>
                <w:rFonts w:ascii="宋体" w:hAnsi="宋体" w:eastAsia="宋体" w:cs="宋体"/>
                <w:bCs/>
                <w:color w:val="000000" w:themeColor="text1"/>
                <w:kern w:val="0"/>
                <w:szCs w:val="21"/>
                <w14:textFill>
                  <w14:solidFill>
                    <w14:schemeClr w14:val="tx1"/>
                  </w14:solidFill>
                </w14:textFill>
              </w:rPr>
              <w:t>2</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Cs/>
                <w:color w:val="000000" w:themeColor="text1"/>
                <w:kern w:val="0"/>
                <w:sz w:val="21"/>
                <w:szCs w:val="21"/>
                <w14:textFill>
                  <w14:solidFill>
                    <w14:schemeClr w14:val="tx1"/>
                  </w14:solidFill>
                </w14:textFill>
              </w:rPr>
              <w:t>√</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14:textFill>
                  <w14:solidFill>
                    <w14:schemeClr w14:val="tx1"/>
                  </w14:solidFill>
                </w14:textFill>
              </w:rPr>
              <w:t>B</w:t>
            </w:r>
          </w:p>
        </w:tc>
        <w:tc>
          <w:tcPr>
            <w:tcW w:w="1061"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b w:val="0"/>
                <w:bCs/>
                <w:sz w:val="21"/>
                <w:szCs w:val="21"/>
              </w:rPr>
              <w:t>机电系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3</w:t>
            </w:r>
          </w:p>
        </w:tc>
        <w:tc>
          <w:tcPr>
            <w:tcW w:w="1222" w:type="dxa"/>
          </w:tcPr>
          <w:p>
            <w:pPr>
              <w:jc w:val="center"/>
              <w:outlineLvl w:val="1"/>
              <w:rPr>
                <w:rFonts w:ascii="宋体" w:hAnsi="宋体" w:eastAsia="宋体" w:cs="宋体"/>
                <w:color w:val="000000"/>
                <w:kern w:val="0"/>
                <w:sz w:val="18"/>
                <w:szCs w:val="18"/>
                <w:lang w:bidi="ar"/>
              </w:rPr>
            </w:pPr>
            <w:r>
              <w:rPr>
                <w:rFonts w:ascii="宋体" w:hAnsi="宋体" w:eastAsia="宋体" w:cs="宋体"/>
                <w:color w:val="000000"/>
                <w:kern w:val="0"/>
                <w:szCs w:val="21"/>
                <w:lang w:bidi="ar"/>
              </w:rPr>
              <w:t>14501151502</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液压与液力传动</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58" w:type="dxa"/>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rPr>
              <w:t>√</w:t>
            </w:r>
          </w:p>
        </w:tc>
        <w:tc>
          <w:tcPr>
            <w:tcW w:w="64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64</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40</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24</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Cs/>
                <w:color w:val="000000" w:themeColor="text1"/>
                <w:kern w:val="0"/>
                <w:sz w:val="21"/>
                <w:szCs w:val="21"/>
                <w14:textFill>
                  <w14:solidFill>
                    <w14:schemeClr w14:val="tx1"/>
                  </w14:solidFill>
                </w14:textFill>
              </w:rPr>
              <w:t>√</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14:textFill>
                  <w14:solidFill>
                    <w14:schemeClr w14:val="tx1"/>
                  </w14:solidFill>
                </w14:textFill>
              </w:rPr>
              <w:t>B</w:t>
            </w:r>
          </w:p>
        </w:tc>
        <w:tc>
          <w:tcPr>
            <w:tcW w:w="1061"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b w:val="0"/>
                <w:bCs/>
                <w:sz w:val="21"/>
                <w:szCs w:val="21"/>
              </w:rPr>
              <w:t>机电系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4</w:t>
            </w:r>
          </w:p>
        </w:tc>
        <w:tc>
          <w:tcPr>
            <w:tcW w:w="1222" w:type="dxa"/>
          </w:tcPr>
          <w:p>
            <w:pPr>
              <w:jc w:val="center"/>
              <w:outlineLvl w:val="1"/>
              <w:rPr>
                <w:rFonts w:ascii="宋体" w:hAnsi="宋体" w:eastAsia="宋体" w:cs="宋体"/>
                <w:color w:val="000000"/>
                <w:kern w:val="0"/>
                <w:sz w:val="18"/>
                <w:szCs w:val="18"/>
                <w:lang w:bidi="ar"/>
              </w:rPr>
            </w:pPr>
            <w:r>
              <w:rPr>
                <w:rFonts w:ascii="宋体" w:hAnsi="宋体" w:eastAsia="宋体" w:cs="宋体"/>
                <w:color w:val="000000"/>
                <w:kern w:val="0"/>
                <w:szCs w:val="21"/>
                <w:lang w:bidi="ar"/>
              </w:rPr>
              <w:t>14501151503</w:t>
            </w:r>
          </w:p>
        </w:tc>
        <w:tc>
          <w:tcPr>
            <w:tcW w:w="2259" w:type="dxa"/>
            <w:shd w:val="clear" w:color="auto" w:fill="auto"/>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汽车维护与保养</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58" w:type="dxa"/>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rPr>
              <w:t>√</w:t>
            </w:r>
          </w:p>
        </w:tc>
        <w:tc>
          <w:tcPr>
            <w:tcW w:w="64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 w:val="18"/>
                <w:szCs w:val="18"/>
                <w14:textFill>
                  <w14:solidFill>
                    <w14:schemeClr w14:val="tx1"/>
                  </w14:solidFill>
                </w14:textFill>
              </w:rPr>
              <w:t>96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w:t>
            </w:r>
            <w:r>
              <w:rPr>
                <w:rFonts w:ascii="宋体" w:hAnsi="宋体" w:eastAsia="宋体" w:cs="宋体"/>
                <w:bCs/>
                <w:color w:val="000000" w:themeColor="text1"/>
                <w:kern w:val="0"/>
                <w:szCs w:val="21"/>
                <w14:textFill>
                  <w14:solidFill>
                    <w14:schemeClr w14:val="tx1"/>
                  </w14:solidFill>
                </w14:textFill>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64</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Cs/>
                <w:color w:val="000000" w:themeColor="text1"/>
                <w:kern w:val="0"/>
                <w:sz w:val="21"/>
                <w:szCs w:val="21"/>
                <w14:textFill>
                  <w14:solidFill>
                    <w14:schemeClr w14:val="tx1"/>
                  </w14:solidFill>
                </w14:textFill>
              </w:rPr>
              <w:t>√</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14:textFill>
                  <w14:solidFill>
                    <w14:schemeClr w14:val="tx1"/>
                  </w14:solidFill>
                </w14:textFill>
              </w:rPr>
              <w:t>C</w:t>
            </w:r>
          </w:p>
        </w:tc>
        <w:tc>
          <w:tcPr>
            <w:tcW w:w="1061"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b w:val="0"/>
                <w:bCs/>
                <w:sz w:val="21"/>
                <w:szCs w:val="21"/>
              </w:rPr>
              <w:t>机电系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5</w:t>
            </w:r>
          </w:p>
        </w:tc>
        <w:tc>
          <w:tcPr>
            <w:tcW w:w="1222" w:type="dxa"/>
          </w:tcPr>
          <w:p>
            <w:pPr>
              <w:jc w:val="center"/>
              <w:outlineLvl w:val="1"/>
              <w:rPr>
                <w:rFonts w:ascii="宋体" w:hAnsi="宋体" w:eastAsia="宋体" w:cs="宋体"/>
                <w:color w:val="000000"/>
                <w:kern w:val="0"/>
                <w:sz w:val="18"/>
                <w:szCs w:val="18"/>
                <w:lang w:bidi="ar"/>
              </w:rPr>
            </w:pPr>
            <w:r>
              <w:rPr>
                <w:rFonts w:ascii="宋体" w:hAnsi="宋体" w:eastAsia="宋体" w:cs="宋体"/>
                <w:color w:val="000000"/>
                <w:kern w:val="0"/>
                <w:szCs w:val="21"/>
                <w:lang w:bidi="ar"/>
              </w:rPr>
              <w:t>14501151504</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★汽车发动机故障诊断与修复I </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58" w:type="dxa"/>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rPr>
              <w:t>√</w:t>
            </w:r>
          </w:p>
        </w:tc>
        <w:tc>
          <w:tcPr>
            <w:tcW w:w="64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4</w:t>
            </w:r>
          </w:p>
        </w:tc>
        <w:tc>
          <w:tcPr>
            <w:tcW w:w="522" w:type="dxa"/>
            <w:vAlign w:val="center"/>
          </w:tcPr>
          <w:p>
            <w:pPr>
              <w:jc w:val="center"/>
              <w:textAlignment w:val="center"/>
              <w:rPr>
                <w:rFonts w:ascii="宋体" w:hAnsi="宋体" w:eastAsia="宋体" w:cs="宋体"/>
                <w:bCs/>
                <w:color w:val="000000" w:themeColor="text1"/>
                <w:kern w:val="0"/>
                <w:sz w:val="18"/>
                <w:szCs w:val="18"/>
                <w14:textFill>
                  <w14:solidFill>
                    <w14:schemeClr w14:val="tx1"/>
                  </w14:solidFill>
                </w14:textFill>
              </w:rPr>
            </w:pPr>
            <w:r>
              <w:rPr>
                <w:rFonts w:ascii="宋体" w:hAnsi="宋体" w:eastAsia="宋体" w:cs="宋体"/>
                <w:bCs/>
                <w:color w:val="000000" w:themeColor="text1"/>
                <w:kern w:val="0"/>
                <w:sz w:val="18"/>
                <w:szCs w:val="18"/>
                <w14:textFill>
                  <w14:solidFill>
                    <w14:schemeClr w14:val="tx1"/>
                  </w14:solidFill>
                </w14:textFill>
              </w:rPr>
              <w:t>64</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20</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44</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Cs/>
                <w:color w:val="000000" w:themeColor="text1"/>
                <w:kern w:val="0"/>
                <w:sz w:val="21"/>
                <w:szCs w:val="21"/>
                <w14:textFill>
                  <w14:solidFill>
                    <w14:schemeClr w14:val="tx1"/>
                  </w14:solidFill>
                </w14:textFill>
              </w:rPr>
              <w:t>√</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14:textFill>
                  <w14:solidFill>
                    <w14:schemeClr w14:val="tx1"/>
                  </w14:solidFill>
                </w14:textFill>
              </w:rPr>
              <w:t>C</w:t>
            </w:r>
          </w:p>
        </w:tc>
        <w:tc>
          <w:tcPr>
            <w:tcW w:w="1061"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b w:val="0"/>
                <w:bCs/>
                <w:sz w:val="21"/>
                <w:szCs w:val="21"/>
              </w:rPr>
              <w:t>机电系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6</w:t>
            </w:r>
          </w:p>
        </w:tc>
        <w:tc>
          <w:tcPr>
            <w:tcW w:w="1222" w:type="dxa"/>
          </w:tcPr>
          <w:p>
            <w:pPr>
              <w:jc w:val="center"/>
              <w:outlineLvl w:val="1"/>
              <w:rPr>
                <w:rFonts w:ascii="宋体" w:hAnsi="宋体" w:eastAsia="宋体" w:cs="宋体"/>
                <w:color w:val="000000"/>
                <w:kern w:val="0"/>
                <w:sz w:val="18"/>
                <w:szCs w:val="18"/>
                <w:lang w:bidi="ar"/>
              </w:rPr>
            </w:pPr>
            <w:r>
              <w:rPr>
                <w:rFonts w:ascii="宋体" w:hAnsi="宋体" w:eastAsia="宋体" w:cs="宋体"/>
                <w:color w:val="000000"/>
                <w:kern w:val="0"/>
                <w:szCs w:val="21"/>
                <w:lang w:bidi="ar"/>
              </w:rPr>
              <w:t>14501151505</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★汽车底盘及电控技术I</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58" w:type="dxa"/>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rPr>
              <w:t>√</w:t>
            </w:r>
          </w:p>
        </w:tc>
        <w:tc>
          <w:tcPr>
            <w:tcW w:w="642" w:type="dxa"/>
            <w:shd w:val="clear" w:color="auto" w:fill="auto"/>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 w:val="18"/>
                <w:szCs w:val="18"/>
                <w14:textFill>
                  <w14:solidFill>
                    <w14:schemeClr w14:val="tx1"/>
                  </w14:solidFill>
                </w14:textFill>
              </w:rPr>
              <w:t>96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w:t>
            </w:r>
            <w:r>
              <w:rPr>
                <w:rFonts w:ascii="宋体" w:hAnsi="宋体" w:eastAsia="宋体" w:cs="宋体"/>
                <w:bCs/>
                <w:color w:val="000000" w:themeColor="text1"/>
                <w:kern w:val="0"/>
                <w:szCs w:val="21"/>
                <w14:textFill>
                  <w14:solidFill>
                    <w14:schemeClr w14:val="tx1"/>
                  </w14:solidFill>
                </w14:textFill>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64</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Cs/>
                <w:color w:val="000000" w:themeColor="text1"/>
                <w:kern w:val="0"/>
                <w:sz w:val="21"/>
                <w:szCs w:val="21"/>
                <w14:textFill>
                  <w14:solidFill>
                    <w14:schemeClr w14:val="tx1"/>
                  </w14:solidFill>
                </w14:textFill>
              </w:rPr>
              <w:t>√</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14:textFill>
                  <w14:solidFill>
                    <w14:schemeClr w14:val="tx1"/>
                  </w14:solidFill>
                </w14:textFill>
              </w:rPr>
              <w:t>C</w:t>
            </w:r>
          </w:p>
        </w:tc>
        <w:tc>
          <w:tcPr>
            <w:tcW w:w="1061"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b w:val="0"/>
                <w:bCs/>
                <w:sz w:val="21"/>
                <w:szCs w:val="21"/>
              </w:rPr>
              <w:t>机电系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7</w:t>
            </w:r>
          </w:p>
        </w:tc>
        <w:tc>
          <w:tcPr>
            <w:tcW w:w="1222" w:type="dxa"/>
          </w:tcPr>
          <w:p>
            <w:pPr>
              <w:jc w:val="center"/>
              <w:outlineLvl w:val="1"/>
              <w:rPr>
                <w:rFonts w:ascii="宋体" w:hAnsi="宋体" w:eastAsia="宋体" w:cs="宋体"/>
                <w:color w:val="000000"/>
                <w:kern w:val="0"/>
                <w:sz w:val="18"/>
                <w:szCs w:val="18"/>
                <w:lang w:bidi="ar"/>
              </w:rPr>
            </w:pPr>
            <w:r>
              <w:rPr>
                <w:rFonts w:ascii="宋体" w:hAnsi="宋体" w:eastAsia="宋体" w:cs="宋体"/>
                <w:color w:val="000000"/>
                <w:kern w:val="0"/>
                <w:szCs w:val="21"/>
                <w:lang w:bidi="ar"/>
              </w:rPr>
              <w:t>14501151506</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★汽车电气设备检修I</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58" w:type="dxa"/>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rPr>
              <w:t>√</w:t>
            </w:r>
          </w:p>
        </w:tc>
        <w:tc>
          <w:tcPr>
            <w:tcW w:w="642" w:type="dxa"/>
            <w:shd w:val="clear" w:color="auto" w:fill="auto"/>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 w:val="18"/>
                <w:szCs w:val="18"/>
                <w14:textFill>
                  <w14:solidFill>
                    <w14:schemeClr w14:val="tx1"/>
                  </w14:solidFill>
                </w14:textFill>
              </w:rPr>
              <w:t>96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w:t>
            </w:r>
            <w:r>
              <w:rPr>
                <w:rFonts w:ascii="宋体" w:hAnsi="宋体" w:eastAsia="宋体" w:cs="宋体"/>
                <w:bCs/>
                <w:color w:val="000000" w:themeColor="text1"/>
                <w:kern w:val="0"/>
                <w:szCs w:val="21"/>
                <w14:textFill>
                  <w14:solidFill>
                    <w14:schemeClr w14:val="tx1"/>
                  </w14:solidFill>
                </w14:textFill>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64</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Cs/>
                <w:color w:val="000000" w:themeColor="text1"/>
                <w:kern w:val="0"/>
                <w:sz w:val="21"/>
                <w:szCs w:val="21"/>
                <w14:textFill>
                  <w14:solidFill>
                    <w14:schemeClr w14:val="tx1"/>
                  </w14:solidFill>
                </w14:textFill>
              </w:rPr>
              <w:t>√</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14:textFill>
                  <w14:solidFill>
                    <w14:schemeClr w14:val="tx1"/>
                  </w14:solidFill>
                </w14:textFill>
              </w:rPr>
              <w:t>C</w:t>
            </w:r>
          </w:p>
        </w:tc>
        <w:tc>
          <w:tcPr>
            <w:tcW w:w="1061"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b w:val="0"/>
                <w:bCs/>
                <w:sz w:val="21"/>
                <w:szCs w:val="21"/>
              </w:rPr>
              <w:t>机电系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8</w:t>
            </w:r>
          </w:p>
        </w:tc>
        <w:tc>
          <w:tcPr>
            <w:tcW w:w="1222" w:type="dxa"/>
          </w:tcPr>
          <w:p>
            <w:pPr>
              <w:jc w:val="center"/>
              <w:outlineLvl w:val="1"/>
              <w:rPr>
                <w:rFonts w:ascii="宋体" w:hAnsi="宋体" w:eastAsia="宋体" w:cs="宋体"/>
                <w:color w:val="000000"/>
                <w:kern w:val="0"/>
                <w:sz w:val="18"/>
                <w:szCs w:val="18"/>
                <w:lang w:bidi="ar"/>
              </w:rPr>
            </w:pPr>
            <w:r>
              <w:rPr>
                <w:rFonts w:ascii="宋体" w:hAnsi="宋体" w:eastAsia="宋体" w:cs="宋体"/>
                <w:color w:val="000000"/>
                <w:kern w:val="0"/>
                <w:szCs w:val="21"/>
                <w:lang w:bidi="ar"/>
              </w:rPr>
              <w:t>14501151507</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★汽车发动机故障诊断与修复II</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58" w:type="dxa"/>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rPr>
              <w:t>√</w:t>
            </w:r>
          </w:p>
        </w:tc>
        <w:tc>
          <w:tcPr>
            <w:tcW w:w="642" w:type="dxa"/>
            <w:shd w:val="clear" w:color="auto" w:fill="auto"/>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 w:val="18"/>
                <w:szCs w:val="18"/>
                <w14:textFill>
                  <w14:solidFill>
                    <w14:schemeClr w14:val="tx1"/>
                  </w14:solidFill>
                </w14:textFill>
              </w:rPr>
              <w:t>96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w:t>
            </w:r>
            <w:r>
              <w:rPr>
                <w:rFonts w:ascii="宋体" w:hAnsi="宋体" w:eastAsia="宋体" w:cs="宋体"/>
                <w:bCs/>
                <w:color w:val="000000" w:themeColor="text1"/>
                <w:kern w:val="0"/>
                <w:szCs w:val="21"/>
                <w14:textFill>
                  <w14:solidFill>
                    <w14:schemeClr w14:val="tx1"/>
                  </w14:solidFill>
                </w14:textFill>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64</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Cs/>
                <w:color w:val="000000" w:themeColor="text1"/>
                <w:kern w:val="0"/>
                <w:sz w:val="21"/>
                <w:szCs w:val="21"/>
                <w14:textFill>
                  <w14:solidFill>
                    <w14:schemeClr w14:val="tx1"/>
                  </w14:solidFill>
                </w14:textFill>
              </w:rPr>
              <w:t>√</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14:textFill>
                  <w14:solidFill>
                    <w14:schemeClr w14:val="tx1"/>
                  </w14:solidFill>
                </w14:textFill>
              </w:rPr>
              <w:t>C</w:t>
            </w:r>
          </w:p>
        </w:tc>
        <w:tc>
          <w:tcPr>
            <w:tcW w:w="1061"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b w:val="0"/>
                <w:bCs/>
                <w:sz w:val="21"/>
                <w:szCs w:val="21"/>
              </w:rPr>
              <w:t>机电系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c>
          <w:tcPr>
            <w:tcW w:w="1222" w:type="dxa"/>
          </w:tcPr>
          <w:p>
            <w:pPr>
              <w:jc w:val="center"/>
              <w:outlineLvl w:val="1"/>
              <w:rPr>
                <w:rFonts w:ascii="宋体" w:hAnsi="宋体" w:eastAsia="宋体" w:cs="宋体"/>
                <w:color w:val="000000"/>
                <w:kern w:val="0"/>
                <w:sz w:val="18"/>
                <w:szCs w:val="18"/>
                <w:lang w:bidi="ar"/>
              </w:rPr>
            </w:pPr>
            <w:r>
              <w:rPr>
                <w:rFonts w:ascii="宋体" w:hAnsi="宋体" w:eastAsia="宋体" w:cs="宋体"/>
                <w:color w:val="000000"/>
                <w:kern w:val="0"/>
                <w:szCs w:val="21"/>
                <w:lang w:bidi="ar"/>
              </w:rPr>
              <w:t>14501151508</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★汽车底盘及电控技术II</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58" w:type="dxa"/>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rPr>
              <w:t>√</w:t>
            </w:r>
          </w:p>
        </w:tc>
        <w:tc>
          <w:tcPr>
            <w:tcW w:w="642" w:type="dxa"/>
            <w:shd w:val="clear" w:color="auto" w:fill="auto"/>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 w:val="18"/>
                <w:szCs w:val="18"/>
                <w14:textFill>
                  <w14:solidFill>
                    <w14:schemeClr w14:val="tx1"/>
                  </w14:solidFill>
                </w14:textFill>
              </w:rPr>
              <w:t>96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w:t>
            </w:r>
            <w:r>
              <w:rPr>
                <w:rFonts w:ascii="宋体" w:hAnsi="宋体" w:eastAsia="宋体" w:cs="宋体"/>
                <w:bCs/>
                <w:color w:val="000000" w:themeColor="text1"/>
                <w:kern w:val="0"/>
                <w:szCs w:val="21"/>
                <w14:textFill>
                  <w14:solidFill>
                    <w14:schemeClr w14:val="tx1"/>
                  </w14:solidFill>
                </w14:textFill>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64</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Cs/>
                <w:color w:val="000000" w:themeColor="text1"/>
                <w:kern w:val="0"/>
                <w:sz w:val="21"/>
                <w:szCs w:val="21"/>
                <w14:textFill>
                  <w14:solidFill>
                    <w14:schemeClr w14:val="tx1"/>
                  </w14:solidFill>
                </w14:textFill>
              </w:rPr>
              <w:t>√</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14:textFill>
                  <w14:solidFill>
                    <w14:schemeClr w14:val="tx1"/>
                  </w14:solidFill>
                </w14:textFill>
              </w:rPr>
              <w:t>C</w:t>
            </w:r>
          </w:p>
        </w:tc>
        <w:tc>
          <w:tcPr>
            <w:tcW w:w="1061"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b w:val="0"/>
                <w:bCs/>
                <w:sz w:val="21"/>
                <w:szCs w:val="21"/>
              </w:rPr>
              <w:t>机电系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w:t>
            </w:r>
          </w:p>
        </w:tc>
        <w:tc>
          <w:tcPr>
            <w:tcW w:w="1222" w:type="dxa"/>
          </w:tcPr>
          <w:p>
            <w:pPr>
              <w:jc w:val="center"/>
              <w:outlineLvl w:val="1"/>
              <w:rPr>
                <w:rFonts w:ascii="宋体" w:hAnsi="宋体" w:eastAsia="宋体" w:cs="宋体"/>
                <w:color w:val="000000"/>
                <w:kern w:val="0"/>
                <w:sz w:val="18"/>
                <w:szCs w:val="18"/>
                <w:lang w:bidi="ar"/>
              </w:rPr>
            </w:pPr>
            <w:r>
              <w:rPr>
                <w:rFonts w:ascii="宋体" w:hAnsi="宋体" w:eastAsia="宋体" w:cs="宋体"/>
                <w:color w:val="000000"/>
                <w:kern w:val="0"/>
                <w:szCs w:val="21"/>
                <w:lang w:bidi="ar"/>
              </w:rPr>
              <w:t>14501151509</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 xml:space="preserve">★汽车电气设备检修II </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58" w:type="dxa"/>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rPr>
              <w:t>√</w:t>
            </w:r>
          </w:p>
        </w:tc>
        <w:tc>
          <w:tcPr>
            <w:tcW w:w="64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 w:val="18"/>
                <w:szCs w:val="18"/>
                <w14:textFill>
                  <w14:solidFill>
                    <w14:schemeClr w14:val="tx1"/>
                  </w14:solidFill>
                </w14:textFill>
              </w:rPr>
              <w:t>96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w:t>
            </w:r>
            <w:r>
              <w:rPr>
                <w:rFonts w:ascii="宋体" w:hAnsi="宋体" w:eastAsia="宋体" w:cs="宋体"/>
                <w:bCs/>
                <w:color w:val="000000" w:themeColor="text1"/>
                <w:kern w:val="0"/>
                <w:szCs w:val="21"/>
                <w14:textFill>
                  <w14:solidFill>
                    <w14:schemeClr w14:val="tx1"/>
                  </w14:solidFill>
                </w14:textFill>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64</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Cs/>
                <w:color w:val="000000" w:themeColor="text1"/>
                <w:kern w:val="0"/>
                <w:sz w:val="21"/>
                <w:szCs w:val="21"/>
                <w14:textFill>
                  <w14:solidFill>
                    <w14:schemeClr w14:val="tx1"/>
                  </w14:solidFill>
                </w14:textFill>
              </w:rPr>
              <w:t>√</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14:textFill>
                  <w14:solidFill>
                    <w14:schemeClr w14:val="tx1"/>
                  </w14:solidFill>
                </w14:textFill>
              </w:rPr>
              <w:t>C</w:t>
            </w:r>
          </w:p>
        </w:tc>
        <w:tc>
          <w:tcPr>
            <w:tcW w:w="1061"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b w:val="0"/>
                <w:bCs/>
                <w:sz w:val="21"/>
                <w:szCs w:val="21"/>
              </w:rPr>
              <w:t>机电系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w:t>
            </w:r>
          </w:p>
        </w:tc>
        <w:tc>
          <w:tcPr>
            <w:tcW w:w="1222" w:type="dxa"/>
          </w:tcPr>
          <w:p>
            <w:pPr>
              <w:jc w:val="center"/>
              <w:outlineLvl w:val="1"/>
              <w:rPr>
                <w:rFonts w:ascii="宋体" w:hAnsi="宋体" w:eastAsia="宋体" w:cs="宋体"/>
                <w:color w:val="000000"/>
                <w:kern w:val="0"/>
                <w:sz w:val="18"/>
                <w:szCs w:val="18"/>
                <w:lang w:bidi="ar"/>
              </w:rPr>
            </w:pPr>
            <w:r>
              <w:rPr>
                <w:rFonts w:ascii="宋体" w:hAnsi="宋体" w:eastAsia="宋体" w:cs="宋体"/>
                <w:color w:val="000000"/>
                <w:kern w:val="0"/>
                <w:szCs w:val="21"/>
                <w:lang w:bidi="ar"/>
              </w:rPr>
              <w:t>14501151510</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车身综合修复训练</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58" w:type="dxa"/>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rPr>
              <w:t>√</w:t>
            </w:r>
          </w:p>
        </w:tc>
        <w:tc>
          <w:tcPr>
            <w:tcW w:w="64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 w:val="18"/>
                <w:szCs w:val="18"/>
                <w14:textFill>
                  <w14:solidFill>
                    <w14:schemeClr w14:val="tx1"/>
                  </w14:solidFill>
                </w14:textFill>
              </w:rPr>
              <w:t>96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w:t>
            </w:r>
            <w:r>
              <w:rPr>
                <w:rFonts w:ascii="宋体" w:hAnsi="宋体" w:eastAsia="宋体" w:cs="宋体"/>
                <w:bCs/>
                <w:color w:val="000000" w:themeColor="text1"/>
                <w:kern w:val="0"/>
                <w:szCs w:val="21"/>
                <w14:textFill>
                  <w14:solidFill>
                    <w14:schemeClr w14:val="tx1"/>
                  </w14:solidFill>
                </w14:textFill>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64</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Cs/>
                <w:color w:val="000000" w:themeColor="text1"/>
                <w:kern w:val="0"/>
                <w:sz w:val="21"/>
                <w:szCs w:val="21"/>
                <w14:textFill>
                  <w14:solidFill>
                    <w14:schemeClr w14:val="tx1"/>
                  </w14:solidFill>
                </w14:textFill>
              </w:rPr>
              <w:t>√</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14:textFill>
                  <w14:solidFill>
                    <w14:schemeClr w14:val="tx1"/>
                  </w14:solidFill>
                </w14:textFill>
              </w:rPr>
              <w:t>C</w:t>
            </w:r>
          </w:p>
        </w:tc>
        <w:tc>
          <w:tcPr>
            <w:tcW w:w="1061"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b w:val="0"/>
                <w:bCs/>
                <w:sz w:val="21"/>
                <w:szCs w:val="21"/>
              </w:rPr>
              <w:t>机电系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2</w:t>
            </w:r>
          </w:p>
        </w:tc>
        <w:tc>
          <w:tcPr>
            <w:tcW w:w="1222" w:type="dxa"/>
          </w:tcPr>
          <w:p>
            <w:pPr>
              <w:jc w:val="center"/>
              <w:outlineLvl w:val="1"/>
              <w:rPr>
                <w:rFonts w:ascii="宋体" w:hAnsi="宋体" w:eastAsia="宋体" w:cs="宋体"/>
                <w:color w:val="000000"/>
                <w:kern w:val="0"/>
                <w:sz w:val="18"/>
                <w:szCs w:val="18"/>
                <w:lang w:bidi="ar"/>
              </w:rPr>
            </w:pPr>
            <w:r>
              <w:rPr>
                <w:rFonts w:ascii="宋体" w:hAnsi="宋体" w:eastAsia="宋体" w:cs="宋体"/>
                <w:color w:val="000000"/>
                <w:kern w:val="0"/>
                <w:szCs w:val="21"/>
                <w:lang w:bidi="ar"/>
              </w:rPr>
              <w:t>14501151511</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★汽车检测与故障诊断</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58" w:type="dxa"/>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rPr>
              <w:t>√</w:t>
            </w:r>
          </w:p>
        </w:tc>
        <w:tc>
          <w:tcPr>
            <w:tcW w:w="64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 w:val="18"/>
                <w:szCs w:val="18"/>
                <w14:textFill>
                  <w14:solidFill>
                    <w14:schemeClr w14:val="tx1"/>
                  </w14:solidFill>
                </w14:textFill>
              </w:rPr>
              <w:t>96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w:t>
            </w:r>
            <w:r>
              <w:rPr>
                <w:rFonts w:ascii="宋体" w:hAnsi="宋体" w:eastAsia="宋体" w:cs="宋体"/>
                <w:bCs/>
                <w:color w:val="000000" w:themeColor="text1"/>
                <w:kern w:val="0"/>
                <w:szCs w:val="21"/>
                <w14:textFill>
                  <w14:solidFill>
                    <w14:schemeClr w14:val="tx1"/>
                  </w14:solidFill>
                </w14:textFill>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64</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Cs/>
                <w:color w:val="000000" w:themeColor="text1"/>
                <w:kern w:val="0"/>
                <w:sz w:val="21"/>
                <w:szCs w:val="21"/>
                <w14:textFill>
                  <w14:solidFill>
                    <w14:schemeClr w14:val="tx1"/>
                  </w14:solidFill>
                </w14:textFill>
              </w:rPr>
              <w:t>√</w:t>
            </w: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14:textFill>
                  <w14:solidFill>
                    <w14:schemeClr w14:val="tx1"/>
                  </w14:solidFill>
                </w14:textFill>
              </w:rPr>
              <w:t>C</w:t>
            </w:r>
          </w:p>
        </w:tc>
        <w:tc>
          <w:tcPr>
            <w:tcW w:w="1061"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b w:val="0"/>
                <w:bCs/>
                <w:sz w:val="21"/>
                <w:szCs w:val="21"/>
              </w:rPr>
              <w:t>机电系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3</w:t>
            </w:r>
          </w:p>
        </w:tc>
        <w:tc>
          <w:tcPr>
            <w:tcW w:w="1222" w:type="dxa"/>
          </w:tcPr>
          <w:p>
            <w:pPr>
              <w:jc w:val="center"/>
              <w:outlineLvl w:val="1"/>
              <w:rPr>
                <w:rFonts w:ascii="宋体" w:hAnsi="宋体" w:eastAsia="宋体" w:cs="宋体"/>
                <w:color w:val="000000"/>
                <w:kern w:val="0"/>
                <w:sz w:val="18"/>
                <w:szCs w:val="18"/>
                <w:lang w:bidi="ar"/>
              </w:rPr>
            </w:pPr>
            <w:r>
              <w:rPr>
                <w:rFonts w:ascii="宋体" w:hAnsi="宋体" w:eastAsia="宋体" w:cs="宋体"/>
                <w:color w:val="000000"/>
                <w:kern w:val="0"/>
                <w:szCs w:val="21"/>
                <w:lang w:bidi="ar"/>
              </w:rPr>
              <w:t>14501151512</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★汽车综合实训</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B</w:t>
            </w:r>
          </w:p>
        </w:tc>
        <w:tc>
          <w:tcPr>
            <w:tcW w:w="658" w:type="dxa"/>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rPr>
              <w:t>√</w:t>
            </w:r>
          </w:p>
        </w:tc>
        <w:tc>
          <w:tcPr>
            <w:tcW w:w="64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6</w:t>
            </w:r>
          </w:p>
        </w:tc>
        <w:tc>
          <w:tcPr>
            <w:tcW w:w="522" w:type="dxa"/>
            <w:vAlign w:val="center"/>
          </w:tcPr>
          <w:p>
            <w:pPr>
              <w:jc w:val="center"/>
              <w:textAlignment w:val="center"/>
              <w:rPr>
                <w:rFonts w:ascii="宋体" w:hAnsi="宋体" w:eastAsia="宋体" w:cs="宋体"/>
                <w:bCs/>
                <w:color w:val="000000" w:themeColor="text1"/>
                <w:kern w:val="0"/>
                <w:sz w:val="18"/>
                <w:szCs w:val="18"/>
                <w14:textFill>
                  <w14:solidFill>
                    <w14:schemeClr w14:val="tx1"/>
                  </w14:solidFill>
                </w14:textFill>
              </w:rPr>
            </w:pPr>
            <w:r>
              <w:rPr>
                <w:rFonts w:ascii="宋体" w:hAnsi="宋体" w:eastAsia="宋体" w:cs="宋体"/>
                <w:bCs/>
                <w:color w:val="000000" w:themeColor="text1"/>
                <w:kern w:val="0"/>
                <w:sz w:val="18"/>
                <w:szCs w:val="18"/>
                <w14:textFill>
                  <w14:solidFill>
                    <w14:schemeClr w14:val="tx1"/>
                  </w14:solidFill>
                </w14:textFill>
              </w:rPr>
              <w:t>96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w:t>
            </w:r>
            <w:r>
              <w:rPr>
                <w:rFonts w:ascii="宋体" w:hAnsi="宋体" w:eastAsia="宋体" w:cs="宋体"/>
                <w:bCs/>
                <w:color w:val="000000" w:themeColor="text1"/>
                <w:kern w:val="0"/>
                <w:szCs w:val="21"/>
                <w14:textFill>
                  <w14:solidFill>
                    <w14:schemeClr w14:val="tx1"/>
                  </w14:solidFill>
                </w14:textFill>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64</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cs="宋体"/>
                <w:bCs/>
                <w:color w:val="000000" w:themeColor="text1"/>
                <w:kern w:val="0"/>
                <w:sz w:val="21"/>
                <w:szCs w:val="21"/>
                <w14:textFill>
                  <w14:solidFill>
                    <w14:schemeClr w14:val="tx1"/>
                  </w14:solidFill>
                </w14:textFill>
              </w:rPr>
            </w:pPr>
            <w:r>
              <w:rPr>
                <w:rFonts w:hint="eastAsia" w:cs="宋体"/>
                <w:bCs/>
                <w:color w:val="000000" w:themeColor="text1"/>
                <w:kern w:val="0"/>
                <w:sz w:val="21"/>
                <w:szCs w:val="21"/>
                <w14:textFill>
                  <w14:solidFill>
                    <w14:schemeClr w14:val="tx1"/>
                  </w14:solidFill>
                </w14:textFill>
              </w:rPr>
              <w:t>√</w:t>
            </w: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14:textFill>
                  <w14:solidFill>
                    <w14:schemeClr w14:val="tx1"/>
                  </w14:solidFill>
                </w14:textFill>
              </w:rPr>
              <w:t>C</w:t>
            </w:r>
          </w:p>
        </w:tc>
        <w:tc>
          <w:tcPr>
            <w:tcW w:w="1061"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b w:val="0"/>
                <w:bCs/>
                <w:sz w:val="21"/>
                <w:szCs w:val="21"/>
              </w:rPr>
              <w:t>机电系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4</w:t>
            </w:r>
          </w:p>
        </w:tc>
        <w:tc>
          <w:tcPr>
            <w:tcW w:w="1222" w:type="dxa"/>
          </w:tcPr>
          <w:p>
            <w:pPr>
              <w:jc w:val="center"/>
              <w:outlineLvl w:val="1"/>
              <w:rPr>
                <w:rFonts w:ascii="宋体" w:hAnsi="宋体" w:eastAsia="宋体" w:cs="宋体"/>
                <w:color w:val="000000"/>
                <w:kern w:val="0"/>
                <w:sz w:val="18"/>
                <w:szCs w:val="18"/>
                <w:lang w:bidi="ar"/>
              </w:rPr>
            </w:pPr>
            <w:r>
              <w:rPr>
                <w:rFonts w:ascii="宋体" w:hAnsi="宋体" w:eastAsia="宋体" w:cs="宋体"/>
                <w:color w:val="000000"/>
                <w:kern w:val="0"/>
                <w:szCs w:val="21"/>
                <w:lang w:bidi="ar"/>
              </w:rPr>
              <w:t>14501153500</w:t>
            </w:r>
          </w:p>
        </w:tc>
        <w:tc>
          <w:tcPr>
            <w:tcW w:w="2259"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rPr>
              <w:t>顶岗实习</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C</w:t>
            </w:r>
          </w:p>
        </w:tc>
        <w:tc>
          <w:tcPr>
            <w:tcW w:w="65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4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r>
              <w:rPr>
                <w:rFonts w:ascii="宋体" w:hAnsi="宋体" w:eastAsia="宋体" w:cs="宋体"/>
                <w:bCs/>
                <w:color w:val="000000" w:themeColor="text1"/>
                <w:kern w:val="0"/>
                <w:szCs w:val="21"/>
                <w14:textFill>
                  <w14:solidFill>
                    <w14:schemeClr w14:val="tx1"/>
                  </w14:solidFill>
                </w14:textFill>
              </w:rPr>
              <w:t>6</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7</w:t>
            </w:r>
            <w:r>
              <w:rPr>
                <w:rFonts w:ascii="宋体" w:hAnsi="宋体" w:eastAsia="宋体" w:cs="宋体"/>
                <w:bCs/>
                <w:color w:val="000000" w:themeColor="text1"/>
                <w:kern w:val="0"/>
                <w:szCs w:val="21"/>
                <w14:textFill>
                  <w14:solidFill>
                    <w14:schemeClr w14:val="tx1"/>
                  </w14:solidFill>
                </w14:textFill>
              </w:rPr>
              <w:t>80</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7</w:t>
            </w:r>
            <w:r>
              <w:rPr>
                <w:rFonts w:ascii="宋体" w:hAnsi="宋体" w:eastAsia="宋体" w:cs="宋体"/>
                <w:bCs/>
                <w:color w:val="000000" w:themeColor="text1"/>
                <w:kern w:val="0"/>
                <w:szCs w:val="21"/>
                <w14:textFill>
                  <w14:solidFill>
                    <w14:schemeClr w14:val="tx1"/>
                  </w14:solidFill>
                </w14:textFill>
              </w:rPr>
              <w:t>80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Cs/>
                <w:color w:val="000000" w:themeColor="text1"/>
                <w:kern w:val="0"/>
                <w:sz w:val="21"/>
                <w:szCs w:val="21"/>
                <w14:textFill>
                  <w14:solidFill>
                    <w14:schemeClr w14:val="tx1"/>
                  </w14:solidFill>
                </w14:textFill>
              </w:rPr>
              <w:t>2</w:t>
            </w:r>
            <w:r>
              <w:rPr>
                <w:rFonts w:cs="宋体"/>
                <w:bCs/>
                <w:color w:val="000000" w:themeColor="text1"/>
                <w:kern w:val="0"/>
                <w:sz w:val="21"/>
                <w:szCs w:val="21"/>
                <w14:textFill>
                  <w14:solidFill>
                    <w14:schemeClr w14:val="tx1"/>
                  </w14:solidFill>
                </w14:textFill>
              </w:rPr>
              <w:t>0W</w:t>
            </w:r>
          </w:p>
        </w:tc>
        <w:tc>
          <w:tcPr>
            <w:tcW w:w="386"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14:textFill>
                  <w14:solidFill>
                    <w14:schemeClr w14:val="tx1"/>
                  </w14:solidFill>
                </w14:textFill>
              </w:rPr>
              <w:t>D</w:t>
            </w:r>
          </w:p>
        </w:tc>
        <w:tc>
          <w:tcPr>
            <w:tcW w:w="1061"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42" w:type="dxa"/>
            <w:gridSpan w:val="6"/>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专业必修课小计</w:t>
            </w:r>
          </w:p>
        </w:tc>
        <w:tc>
          <w:tcPr>
            <w:tcW w:w="64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583" w:type="dxa"/>
            <w:shd w:val="clear" w:color="auto" w:fill="FFFFFF" w:themeFill="background1"/>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8</w:t>
            </w:r>
          </w:p>
        </w:tc>
        <w:tc>
          <w:tcPr>
            <w:tcW w:w="583" w:type="dxa"/>
            <w:shd w:val="clear" w:color="auto" w:fill="FFFFFF" w:themeFill="background1"/>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r>
              <w:rPr>
                <w:rFonts w:ascii="宋体" w:hAnsi="宋体" w:eastAsia="宋体" w:cs="宋体"/>
                <w:bCs/>
                <w:color w:val="000000" w:themeColor="text1"/>
                <w:kern w:val="0"/>
                <w:szCs w:val="21"/>
                <w14:textFill>
                  <w14:solidFill>
                    <w14:schemeClr w14:val="tx1"/>
                  </w14:solidFill>
                </w14:textFill>
              </w:rPr>
              <w:t>0</w:t>
            </w:r>
          </w:p>
        </w:tc>
        <w:tc>
          <w:tcPr>
            <w:tcW w:w="583" w:type="dxa"/>
            <w:shd w:val="clear" w:color="auto" w:fill="FFFFFF" w:themeFill="background1"/>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16</w:t>
            </w:r>
          </w:p>
        </w:tc>
        <w:tc>
          <w:tcPr>
            <w:tcW w:w="583" w:type="dxa"/>
            <w:shd w:val="clear" w:color="auto" w:fill="FFFFFF" w:themeFill="background1"/>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24</w:t>
            </w:r>
          </w:p>
        </w:tc>
        <w:tc>
          <w:tcPr>
            <w:tcW w:w="583" w:type="dxa"/>
            <w:shd w:val="clear" w:color="auto" w:fill="FFFFFF" w:themeFill="background1"/>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12</w:t>
            </w:r>
          </w:p>
        </w:tc>
        <w:tc>
          <w:tcPr>
            <w:tcW w:w="588" w:type="dxa"/>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1061" w:type="dxa"/>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1312" w:type="dxa"/>
          </w:tcPr>
          <w:p>
            <w:pPr>
              <w:jc w:val="center"/>
              <w:textAlignment w:val="center"/>
              <w:rPr>
                <w:rFonts w:ascii="宋体" w:hAnsi="宋体" w:eastAsia="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restart"/>
            <w:textDirection w:val="tbRlV"/>
            <w:vAlign w:val="center"/>
          </w:tcPr>
          <w:p>
            <w:pPr>
              <w:pStyle w:val="84"/>
              <w:ind w:left="113" w:right="113"/>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color w:val="000000" w:themeColor="text1"/>
                <w:kern w:val="0"/>
                <w:sz w:val="21"/>
                <w:szCs w:val="21"/>
                <w14:textFill>
                  <w14:solidFill>
                    <w14:schemeClr w14:val="tx1"/>
                  </w14:solidFill>
                </w14:textFill>
              </w:rPr>
              <w:t>专  业 （技  能） 课</w:t>
            </w:r>
          </w:p>
        </w:tc>
        <w:tc>
          <w:tcPr>
            <w:tcW w:w="475" w:type="dxa"/>
            <w:vMerge w:val="restart"/>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 w:val="0"/>
                <w:bCs/>
                <w:color w:val="000000" w:themeColor="text1"/>
                <w:sz w:val="21"/>
                <w:szCs w:val="21"/>
                <w14:textFill>
                  <w14:solidFill>
                    <w14:schemeClr w14:val="tx1"/>
                  </w14:solidFill>
                </w14:textFill>
              </w:rPr>
              <w:t>专业选修课</w:t>
            </w:r>
          </w:p>
        </w:tc>
        <w:tc>
          <w:tcPr>
            <w:tcW w:w="535" w:type="dxa"/>
            <w:vAlign w:val="center"/>
          </w:tcPr>
          <w:p>
            <w:pPr>
              <w:widowControl/>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kern w:val="0"/>
                <w:szCs w:val="21"/>
                <w:lang w:bidi="ar"/>
              </w:rPr>
              <w:t>1</w:t>
            </w:r>
          </w:p>
        </w:tc>
        <w:tc>
          <w:tcPr>
            <w:tcW w:w="1222" w:type="dxa"/>
          </w:tcPr>
          <w:p>
            <w:pPr>
              <w:jc w:val="center"/>
              <w:outlineLvl w:val="1"/>
              <w:rPr>
                <w:rFonts w:ascii="宋体" w:hAnsi="宋体" w:eastAsia="宋体" w:cs="宋体"/>
                <w:color w:val="000000"/>
                <w:kern w:val="0"/>
                <w:szCs w:val="21"/>
                <w:lang w:bidi="ar"/>
              </w:rPr>
            </w:pPr>
            <w:r>
              <w:rPr>
                <w:rFonts w:ascii="宋体" w:hAnsi="宋体" w:eastAsia="宋体" w:cs="宋体"/>
                <w:color w:val="000000"/>
                <w:kern w:val="0"/>
                <w:szCs w:val="21"/>
                <w:lang w:bidi="ar"/>
              </w:rPr>
              <w:t>14501152500</w:t>
            </w:r>
          </w:p>
        </w:tc>
        <w:tc>
          <w:tcPr>
            <w:tcW w:w="2259"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rPr>
              <w:t>汽车安全驾驶与驾考</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65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64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w:t>
            </w:r>
            <w:r>
              <w:rPr>
                <w:rFonts w:ascii="宋体" w:hAnsi="宋体" w:eastAsia="宋体" w:cs="宋体"/>
                <w:bCs/>
                <w:color w:val="000000" w:themeColor="text1"/>
                <w:kern w:val="0"/>
                <w:szCs w:val="21"/>
                <w14:textFill>
                  <w14:solidFill>
                    <w14:schemeClr w14:val="tx1"/>
                  </w14:solidFill>
                </w14:textFill>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w:t>
            </w:r>
            <w:r>
              <w:rPr>
                <w:rFonts w:ascii="宋体" w:hAnsi="宋体" w:eastAsia="宋体" w:cs="宋体"/>
                <w:bCs/>
                <w:color w:val="000000" w:themeColor="text1"/>
                <w:kern w:val="0"/>
                <w:szCs w:val="21"/>
                <w14:textFill>
                  <w14:solidFill>
                    <w14:schemeClr w14:val="tx1"/>
                  </w14:solidFill>
                </w14:textFill>
              </w:rPr>
              <w:t>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Cs/>
                <w:color w:val="000000" w:themeColor="text1"/>
                <w:kern w:val="0"/>
                <w:sz w:val="21"/>
                <w:szCs w:val="21"/>
                <w14:textFill>
                  <w14:solidFill>
                    <w14:schemeClr w14:val="tx1"/>
                  </w14:solidFill>
                </w14:textFill>
              </w:rPr>
              <w:t>√</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14:textFill>
                  <w14:solidFill>
                    <w14:schemeClr w14:val="tx1"/>
                  </w14:solidFill>
                </w14:textFill>
              </w:rPr>
              <w:t>B</w:t>
            </w:r>
          </w:p>
        </w:tc>
        <w:tc>
          <w:tcPr>
            <w:tcW w:w="1061"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b w:val="0"/>
                <w:bCs/>
                <w:sz w:val="21"/>
                <w:szCs w:val="21"/>
              </w:rPr>
              <w:t>机电系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2</w:t>
            </w:r>
          </w:p>
        </w:tc>
        <w:tc>
          <w:tcPr>
            <w:tcW w:w="1222" w:type="dxa"/>
          </w:tcPr>
          <w:p>
            <w:pPr>
              <w:jc w:val="center"/>
              <w:outlineLvl w:val="1"/>
              <w:rPr>
                <w:rFonts w:ascii="宋体" w:hAnsi="宋体" w:eastAsia="宋体" w:cs="宋体"/>
                <w:color w:val="000000"/>
                <w:kern w:val="0"/>
                <w:szCs w:val="21"/>
                <w:lang w:bidi="ar"/>
              </w:rPr>
            </w:pPr>
            <w:r>
              <w:rPr>
                <w:rFonts w:ascii="宋体" w:hAnsi="宋体" w:eastAsia="宋体" w:cs="宋体"/>
                <w:color w:val="000000"/>
                <w:kern w:val="0"/>
                <w:szCs w:val="21"/>
                <w:lang w:bidi="ar"/>
              </w:rPr>
              <w:t>14501152501</w:t>
            </w:r>
          </w:p>
        </w:tc>
        <w:tc>
          <w:tcPr>
            <w:tcW w:w="2259"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jc w:val="center"/>
              <w:textAlignment w:val="center"/>
            </w:pPr>
            <w:r>
              <w:rPr>
                <w:rFonts w:hint="eastAsia" w:ascii="宋体" w:hAnsi="宋体" w:eastAsia="宋体" w:cs="宋体"/>
                <w:bCs/>
                <w:color w:val="000000" w:themeColor="text1"/>
                <w:kern w:val="0"/>
                <w:szCs w:val="21"/>
                <w14:textFill>
                  <w14:solidFill>
                    <w14:schemeClr w14:val="tx1"/>
                  </w14:solidFill>
                </w14:textFill>
              </w:rPr>
              <w:t>汽车营销</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B</w:t>
            </w:r>
          </w:p>
        </w:tc>
        <w:tc>
          <w:tcPr>
            <w:tcW w:w="65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rPr>
              <w:t>√</w:t>
            </w:r>
          </w:p>
        </w:tc>
        <w:tc>
          <w:tcPr>
            <w:tcW w:w="642" w:type="dxa"/>
            <w:vAlign w:val="center"/>
          </w:tcPr>
          <w:p>
            <w:pPr>
              <w:jc w:val="center"/>
              <w:textAlignment w:val="center"/>
            </w:pPr>
            <w:r>
              <w:rPr>
                <w:rFonts w:ascii="宋体" w:hAnsi="宋体" w:eastAsia="宋体" w:cs="宋体"/>
                <w:bCs/>
                <w:color w:val="000000" w:themeColor="text1"/>
                <w:kern w:val="0"/>
                <w:szCs w:val="21"/>
                <w14:textFill>
                  <w14:solidFill>
                    <w14:schemeClr w14:val="tx1"/>
                  </w14:solidFill>
                </w14:textFill>
              </w:rPr>
              <w:t>4</w:t>
            </w:r>
          </w:p>
        </w:tc>
        <w:tc>
          <w:tcPr>
            <w:tcW w:w="522" w:type="dxa"/>
            <w:vAlign w:val="center"/>
          </w:tcPr>
          <w:p>
            <w:pPr>
              <w:jc w:val="center"/>
              <w:textAlignment w:val="center"/>
            </w:pPr>
            <w:r>
              <w:rPr>
                <w:rFonts w:ascii="宋体" w:hAnsi="宋体" w:eastAsia="宋体" w:cs="宋体"/>
                <w:bCs/>
                <w:color w:val="000000" w:themeColor="text1"/>
                <w:kern w:val="0"/>
                <w:sz w:val="18"/>
                <w:szCs w:val="18"/>
                <w14:textFill>
                  <w14:solidFill>
                    <w14:schemeClr w14:val="tx1"/>
                  </w14:solidFill>
                </w14:textFill>
              </w:rPr>
              <w:t>64</w:t>
            </w:r>
          </w:p>
        </w:tc>
        <w:tc>
          <w:tcPr>
            <w:tcW w:w="522" w:type="dxa"/>
            <w:vAlign w:val="center"/>
          </w:tcPr>
          <w:p>
            <w:pPr>
              <w:jc w:val="center"/>
              <w:textAlignment w:val="center"/>
            </w:pPr>
            <w:r>
              <w:rPr>
                <w:rFonts w:ascii="宋体" w:hAnsi="宋体" w:eastAsia="宋体" w:cs="宋体"/>
                <w:bCs/>
                <w:color w:val="000000" w:themeColor="text1"/>
                <w:kern w:val="0"/>
                <w:szCs w:val="21"/>
                <w14:textFill>
                  <w14:solidFill>
                    <w14:schemeClr w14:val="tx1"/>
                  </w14:solidFill>
                </w14:textFill>
              </w:rPr>
              <w:t>40</w:t>
            </w:r>
          </w:p>
        </w:tc>
        <w:tc>
          <w:tcPr>
            <w:tcW w:w="522" w:type="dxa"/>
            <w:vAlign w:val="center"/>
          </w:tcPr>
          <w:p>
            <w:pPr>
              <w:jc w:val="center"/>
              <w:textAlignment w:val="center"/>
            </w:pPr>
            <w:r>
              <w:rPr>
                <w:rFonts w:ascii="宋体" w:hAnsi="宋体" w:eastAsia="宋体" w:cs="宋体"/>
                <w:bCs/>
                <w:color w:val="000000" w:themeColor="text1"/>
                <w:kern w:val="0"/>
                <w:szCs w:val="21"/>
                <w14:textFill>
                  <w14:solidFill>
                    <w14:schemeClr w14:val="tx1"/>
                  </w14:solidFill>
                </w14:textFill>
              </w:rPr>
              <w:t>24</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Cs/>
                <w:color w:val="000000" w:themeColor="text1"/>
                <w:kern w:val="0"/>
                <w:sz w:val="21"/>
                <w:szCs w:val="21"/>
                <w14:textFill>
                  <w14:solidFill>
                    <w14:schemeClr w14:val="tx1"/>
                  </w14:solidFill>
                </w14:textFill>
              </w:rPr>
              <w:t>√</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14:textFill>
                  <w14:solidFill>
                    <w14:schemeClr w14:val="tx1"/>
                  </w14:solidFill>
                </w14:textFill>
              </w:rPr>
              <w:t>B</w:t>
            </w:r>
          </w:p>
        </w:tc>
        <w:tc>
          <w:tcPr>
            <w:tcW w:w="1061"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b w:val="0"/>
                <w:bCs/>
                <w:sz w:val="21"/>
                <w:szCs w:val="21"/>
              </w:rPr>
              <w:t>机电系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c>
          <w:tcPr>
            <w:tcW w:w="1222" w:type="dxa"/>
          </w:tcPr>
          <w:p>
            <w:pPr>
              <w:jc w:val="center"/>
              <w:outlineLvl w:val="1"/>
              <w:rPr>
                <w:rFonts w:ascii="宋体" w:hAnsi="宋体" w:eastAsia="宋体" w:cs="宋体"/>
                <w:color w:val="000000"/>
                <w:kern w:val="0"/>
                <w:szCs w:val="21"/>
                <w:lang w:bidi="ar"/>
              </w:rPr>
            </w:pPr>
            <w:r>
              <w:rPr>
                <w:rFonts w:ascii="宋体" w:hAnsi="宋体" w:eastAsia="宋体" w:cs="宋体"/>
                <w:color w:val="000000"/>
                <w:kern w:val="0"/>
                <w:szCs w:val="21"/>
                <w:lang w:bidi="ar"/>
              </w:rPr>
              <w:t>14501152502</w:t>
            </w:r>
          </w:p>
        </w:tc>
        <w:tc>
          <w:tcPr>
            <w:tcW w:w="2259"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汽车售后服务与管理</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A</w:t>
            </w:r>
          </w:p>
        </w:tc>
        <w:tc>
          <w:tcPr>
            <w:tcW w:w="65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rPr>
              <w:t>√</w:t>
            </w:r>
          </w:p>
        </w:tc>
        <w:tc>
          <w:tcPr>
            <w:tcW w:w="64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4</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64</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40</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24</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cs="宋体"/>
                <w:bCs/>
                <w:color w:val="000000" w:themeColor="text1"/>
                <w:kern w:val="0"/>
                <w:sz w:val="21"/>
                <w:szCs w:val="21"/>
                <w14:textFill>
                  <w14:solidFill>
                    <w14:schemeClr w14:val="tx1"/>
                  </w14:solidFill>
                </w14:textFill>
              </w:rPr>
            </w:pPr>
            <w:r>
              <w:rPr>
                <w:rFonts w:hint="eastAsia" w:cs="宋体"/>
                <w:bCs/>
                <w:color w:val="000000" w:themeColor="text1"/>
                <w:kern w:val="0"/>
                <w:sz w:val="21"/>
                <w:szCs w:val="21"/>
                <w14:textFill>
                  <w14:solidFill>
                    <w14:schemeClr w14:val="tx1"/>
                  </w14:solidFill>
                </w14:textFill>
              </w:rPr>
              <w:t>√</w:t>
            </w: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14:textFill>
                  <w14:solidFill>
                    <w14:schemeClr w14:val="tx1"/>
                  </w14:solidFill>
                </w14:textFill>
              </w:rPr>
              <w:t>B</w:t>
            </w:r>
          </w:p>
        </w:tc>
        <w:tc>
          <w:tcPr>
            <w:tcW w:w="1061"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b w:val="0"/>
                <w:bCs/>
                <w:sz w:val="21"/>
                <w:szCs w:val="21"/>
              </w:rPr>
              <w:t>机电系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475"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35" w:type="dxa"/>
            <w:vAlign w:val="center"/>
          </w:tcPr>
          <w:p>
            <w:pPr>
              <w:widowControl/>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4</w:t>
            </w:r>
          </w:p>
        </w:tc>
        <w:tc>
          <w:tcPr>
            <w:tcW w:w="1222" w:type="dxa"/>
          </w:tcPr>
          <w:p>
            <w:pPr>
              <w:jc w:val="center"/>
              <w:outlineLvl w:val="1"/>
              <w:rPr>
                <w:rFonts w:ascii="宋体" w:hAnsi="宋体" w:eastAsia="宋体" w:cs="宋体"/>
                <w:color w:val="000000"/>
                <w:kern w:val="0"/>
                <w:szCs w:val="21"/>
                <w:lang w:bidi="ar"/>
              </w:rPr>
            </w:pPr>
            <w:r>
              <w:rPr>
                <w:rFonts w:ascii="宋体" w:hAnsi="宋体" w:eastAsia="宋体" w:cs="宋体"/>
                <w:color w:val="000000"/>
                <w:kern w:val="0"/>
                <w:szCs w:val="21"/>
                <w:lang w:bidi="ar"/>
              </w:rPr>
              <w:t>14501153503</w:t>
            </w:r>
          </w:p>
        </w:tc>
        <w:tc>
          <w:tcPr>
            <w:tcW w:w="2259"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pPr>
              <w:jc w:val="center"/>
              <w:textAlignment w:val="center"/>
            </w:pPr>
            <w:r>
              <w:rPr>
                <w:rFonts w:hint="eastAsia" w:ascii="宋体" w:hAnsi="宋体" w:eastAsia="宋体" w:cs="宋体"/>
                <w:bCs/>
                <w:color w:val="000000" w:themeColor="text1"/>
                <w:kern w:val="0"/>
                <w:szCs w:val="21"/>
                <w14:textFill>
                  <w14:solidFill>
                    <w14:schemeClr w14:val="tx1"/>
                  </w14:solidFill>
                </w14:textFill>
              </w:rPr>
              <w:t>新能源汽车概论</w:t>
            </w:r>
          </w:p>
        </w:tc>
        <w:tc>
          <w:tcPr>
            <w:tcW w:w="69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A</w:t>
            </w:r>
          </w:p>
        </w:tc>
        <w:tc>
          <w:tcPr>
            <w:tcW w:w="65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rPr>
              <w:t>√</w:t>
            </w:r>
          </w:p>
        </w:tc>
        <w:tc>
          <w:tcPr>
            <w:tcW w:w="64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4</w:t>
            </w:r>
          </w:p>
        </w:tc>
        <w:tc>
          <w:tcPr>
            <w:tcW w:w="522" w:type="dxa"/>
            <w:vAlign w:val="center"/>
          </w:tcPr>
          <w:p>
            <w:pPr>
              <w:jc w:val="center"/>
              <w:textAlignment w:val="center"/>
            </w:pPr>
            <w:r>
              <w:rPr>
                <w:rFonts w:ascii="宋体" w:hAnsi="宋体" w:eastAsia="宋体" w:cs="宋体"/>
                <w:bCs/>
                <w:color w:val="000000" w:themeColor="text1"/>
                <w:kern w:val="0"/>
                <w:sz w:val="18"/>
                <w:szCs w:val="18"/>
                <w14:textFill>
                  <w14:solidFill>
                    <w14:schemeClr w14:val="tx1"/>
                  </w14:solidFill>
                </w14:textFill>
              </w:rPr>
              <w:t>64</w:t>
            </w:r>
          </w:p>
        </w:tc>
        <w:tc>
          <w:tcPr>
            <w:tcW w:w="522" w:type="dxa"/>
            <w:vAlign w:val="center"/>
          </w:tcPr>
          <w:p>
            <w:pPr>
              <w:jc w:val="center"/>
              <w:textAlignment w:val="center"/>
            </w:pPr>
            <w:r>
              <w:rPr>
                <w:rFonts w:ascii="宋体" w:hAnsi="宋体" w:eastAsia="宋体" w:cs="宋体"/>
                <w:bCs/>
                <w:color w:val="000000" w:themeColor="text1"/>
                <w:kern w:val="0"/>
                <w:szCs w:val="21"/>
                <w14:textFill>
                  <w14:solidFill>
                    <w14:schemeClr w14:val="tx1"/>
                  </w14:solidFill>
                </w14:textFill>
              </w:rPr>
              <w:t>40</w:t>
            </w:r>
          </w:p>
        </w:tc>
        <w:tc>
          <w:tcPr>
            <w:tcW w:w="522" w:type="dxa"/>
            <w:vAlign w:val="center"/>
          </w:tcPr>
          <w:p>
            <w:pPr>
              <w:jc w:val="center"/>
              <w:textAlignment w:val="center"/>
            </w:pPr>
            <w:r>
              <w:rPr>
                <w:rFonts w:ascii="宋体" w:hAnsi="宋体" w:eastAsia="宋体" w:cs="宋体"/>
                <w:bCs/>
                <w:color w:val="000000" w:themeColor="text1"/>
                <w:kern w:val="0"/>
                <w:szCs w:val="21"/>
                <w14:textFill>
                  <w14:solidFill>
                    <w14:schemeClr w14:val="tx1"/>
                  </w14:solidFill>
                </w14:textFill>
              </w:rPr>
              <w:t>24</w:t>
            </w: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3" w:type="dxa"/>
            <w:vAlign w:val="center"/>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cs="宋体"/>
                <w:bCs/>
                <w:color w:val="000000" w:themeColor="text1"/>
                <w:kern w:val="0"/>
                <w:sz w:val="21"/>
                <w:szCs w:val="21"/>
                <w14:textFill>
                  <w14:solidFill>
                    <w14:schemeClr w14:val="tx1"/>
                  </w14:solidFill>
                </w14:textFill>
              </w:rPr>
              <w:t>√</w:t>
            </w:r>
          </w:p>
        </w:tc>
        <w:tc>
          <w:tcPr>
            <w:tcW w:w="588"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386"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ascii="楷体_GB2312" w:hAnsi="楷体_GB2312" w:eastAsia="楷体_GB2312" w:cs="楷体_GB2312"/>
                <w:b w:val="0"/>
                <w:bCs/>
                <w:color w:val="000000" w:themeColor="text1"/>
                <w:sz w:val="28"/>
                <w:szCs w:val="28"/>
                <w14:textFill>
                  <w14:solidFill>
                    <w14:schemeClr w14:val="tx1"/>
                  </w14:solidFill>
                </w14:textFill>
              </w:rPr>
              <w:t>B</w:t>
            </w:r>
          </w:p>
        </w:tc>
        <w:tc>
          <w:tcPr>
            <w:tcW w:w="1061"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r>
              <w:rPr>
                <w:rFonts w:hint="eastAsia"/>
                <w:b w:val="0"/>
                <w:bCs/>
                <w:sz w:val="21"/>
                <w:szCs w:val="21"/>
              </w:rPr>
              <w:t>机电系</w:t>
            </w:r>
          </w:p>
        </w:tc>
        <w:tc>
          <w:tcPr>
            <w:tcW w:w="1312" w:type="dxa"/>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74" w:type="dxa"/>
            <w:vMerge w:val="continue"/>
          </w:tcPr>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tc>
        <w:tc>
          <w:tcPr>
            <w:tcW w:w="5842" w:type="dxa"/>
            <w:gridSpan w:val="6"/>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专业选修课小计</w:t>
            </w:r>
          </w:p>
        </w:tc>
        <w:tc>
          <w:tcPr>
            <w:tcW w:w="64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r>
              <w:rPr>
                <w:rFonts w:ascii="宋体" w:hAnsi="宋体" w:eastAsia="宋体" w:cs="宋体"/>
                <w:bCs/>
                <w:color w:val="000000" w:themeColor="text1"/>
                <w:kern w:val="0"/>
                <w:szCs w:val="21"/>
                <w14:textFill>
                  <w14:solidFill>
                    <w14:schemeClr w14:val="tx1"/>
                  </w14:solidFill>
                </w14:textFill>
              </w:rPr>
              <w:t>4</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r>
              <w:rPr>
                <w:rFonts w:ascii="宋体" w:hAnsi="宋体" w:eastAsia="宋体" w:cs="宋体"/>
                <w:bCs/>
                <w:color w:val="000000" w:themeColor="text1"/>
                <w:kern w:val="0"/>
                <w:szCs w:val="21"/>
                <w14:textFill>
                  <w14:solidFill>
                    <w14:schemeClr w14:val="tx1"/>
                  </w14:solidFill>
                </w14:textFill>
              </w:rPr>
              <w:t>24</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r>
              <w:rPr>
                <w:rFonts w:ascii="宋体" w:hAnsi="宋体" w:eastAsia="宋体" w:cs="宋体"/>
                <w:bCs/>
                <w:color w:val="000000" w:themeColor="text1"/>
                <w:kern w:val="0"/>
                <w:szCs w:val="21"/>
                <w14:textFill>
                  <w14:solidFill>
                    <w14:schemeClr w14:val="tx1"/>
                  </w14:solidFill>
                </w14:textFill>
              </w:rPr>
              <w:t>52</w:t>
            </w:r>
          </w:p>
        </w:tc>
        <w:tc>
          <w:tcPr>
            <w:tcW w:w="52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7</w:t>
            </w:r>
            <w:r>
              <w:rPr>
                <w:rFonts w:ascii="宋体" w:hAnsi="宋体" w:eastAsia="宋体" w:cs="宋体"/>
                <w:bCs/>
                <w:color w:val="000000" w:themeColor="text1"/>
                <w:kern w:val="0"/>
                <w:szCs w:val="21"/>
                <w14:textFill>
                  <w14:solidFill>
                    <w14:schemeClr w14:val="tx1"/>
                  </w14:solidFill>
                </w14:textFill>
              </w:rPr>
              <w:t>2</w:t>
            </w:r>
          </w:p>
        </w:tc>
        <w:tc>
          <w:tcPr>
            <w:tcW w:w="58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shd w:val="clear" w:color="auto" w:fill="FFFFFF" w:themeFill="background1"/>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rPr>
              <w:t>√</w:t>
            </w:r>
          </w:p>
        </w:tc>
        <w:tc>
          <w:tcPr>
            <w:tcW w:w="583" w:type="dxa"/>
            <w:shd w:val="clear" w:color="auto" w:fill="FFFFFF" w:themeFill="background1"/>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w:t>
            </w:r>
          </w:p>
        </w:tc>
        <w:tc>
          <w:tcPr>
            <w:tcW w:w="583" w:type="dxa"/>
            <w:shd w:val="clear" w:color="auto" w:fill="FFFFFF" w:themeFill="background1"/>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583" w:type="dxa"/>
            <w:shd w:val="clear" w:color="auto" w:fill="FFFFFF" w:themeFill="background1"/>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ascii="宋体" w:hAnsi="宋体" w:eastAsia="宋体" w:cs="宋体"/>
                <w:bCs/>
                <w:color w:val="000000" w:themeColor="text1"/>
                <w:kern w:val="0"/>
                <w:szCs w:val="21"/>
                <w14:textFill>
                  <w14:solidFill>
                    <w14:schemeClr w14:val="tx1"/>
                  </w14:solidFill>
                </w14:textFill>
              </w:rPr>
              <w:t>8</w:t>
            </w:r>
          </w:p>
        </w:tc>
        <w:tc>
          <w:tcPr>
            <w:tcW w:w="58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0</w:t>
            </w: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1061"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131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24" w:type="dxa"/>
            <w:gridSpan w:val="11"/>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平均周学时</w:t>
            </w:r>
          </w:p>
        </w:tc>
        <w:tc>
          <w:tcPr>
            <w:tcW w:w="58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r>
              <w:rPr>
                <w:rFonts w:ascii="宋体" w:hAnsi="宋体" w:eastAsia="宋体" w:cs="宋体"/>
                <w:bCs/>
                <w:color w:val="000000" w:themeColor="text1"/>
                <w:kern w:val="0"/>
                <w:szCs w:val="21"/>
                <w14:textFill>
                  <w14:solidFill>
                    <w14:schemeClr w14:val="tx1"/>
                  </w14:solidFill>
                </w14:textFill>
              </w:rPr>
              <w:t>6</w:t>
            </w:r>
          </w:p>
        </w:tc>
        <w:tc>
          <w:tcPr>
            <w:tcW w:w="58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r>
              <w:rPr>
                <w:rFonts w:ascii="宋体" w:hAnsi="宋体" w:eastAsia="宋体" w:cs="宋体"/>
                <w:bCs/>
                <w:color w:val="000000" w:themeColor="text1"/>
                <w:kern w:val="0"/>
                <w:szCs w:val="21"/>
                <w14:textFill>
                  <w14:solidFill>
                    <w14:schemeClr w14:val="tx1"/>
                  </w14:solidFill>
                </w14:textFill>
              </w:rPr>
              <w:t>6</w:t>
            </w:r>
          </w:p>
        </w:tc>
        <w:tc>
          <w:tcPr>
            <w:tcW w:w="58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r>
              <w:rPr>
                <w:rFonts w:ascii="宋体" w:hAnsi="宋体" w:eastAsia="宋体" w:cs="宋体"/>
                <w:bCs/>
                <w:color w:val="000000" w:themeColor="text1"/>
                <w:kern w:val="0"/>
                <w:szCs w:val="21"/>
                <w14:textFill>
                  <w14:solidFill>
                    <w14:schemeClr w14:val="tx1"/>
                  </w14:solidFill>
                </w14:textFill>
              </w:rPr>
              <w:t>4</w:t>
            </w:r>
          </w:p>
        </w:tc>
        <w:tc>
          <w:tcPr>
            <w:tcW w:w="58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r>
              <w:rPr>
                <w:rFonts w:ascii="宋体" w:hAnsi="宋体" w:eastAsia="宋体" w:cs="宋体"/>
                <w:bCs/>
                <w:color w:val="000000" w:themeColor="text1"/>
                <w:kern w:val="0"/>
                <w:szCs w:val="21"/>
                <w14:textFill>
                  <w14:solidFill>
                    <w14:schemeClr w14:val="tx1"/>
                  </w14:solidFill>
                </w14:textFill>
              </w:rPr>
              <w:t>5</w:t>
            </w:r>
          </w:p>
        </w:tc>
        <w:tc>
          <w:tcPr>
            <w:tcW w:w="583"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r>
              <w:rPr>
                <w:rFonts w:ascii="宋体" w:hAnsi="宋体" w:eastAsia="宋体" w:cs="宋体"/>
                <w:bCs/>
                <w:color w:val="000000" w:themeColor="text1"/>
                <w:kern w:val="0"/>
                <w:szCs w:val="21"/>
                <w14:textFill>
                  <w14:solidFill>
                    <w14:schemeClr w14:val="tx1"/>
                  </w14:solidFill>
                </w14:textFill>
              </w:rPr>
              <w:t>0</w:t>
            </w:r>
          </w:p>
        </w:tc>
        <w:tc>
          <w:tcPr>
            <w:tcW w:w="588"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386"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1061"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c>
          <w:tcPr>
            <w:tcW w:w="1312" w:type="dxa"/>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16" w:type="dxa"/>
            <w:gridSpan w:val="7"/>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学分总计、学时总计</w:t>
            </w:r>
          </w:p>
        </w:tc>
        <w:tc>
          <w:tcPr>
            <w:tcW w:w="2208" w:type="dxa"/>
            <w:gridSpan w:val="4"/>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r>
              <w:rPr>
                <w:rFonts w:ascii="宋体" w:hAnsi="宋体" w:eastAsia="宋体" w:cs="宋体"/>
                <w:bCs/>
                <w:color w:val="000000" w:themeColor="text1"/>
                <w:kern w:val="0"/>
                <w:szCs w:val="21"/>
                <w14:textFill>
                  <w14:solidFill>
                    <w14:schemeClr w14:val="tx1"/>
                  </w14:solidFill>
                </w14:textFill>
              </w:rPr>
              <w:t>58</w:t>
            </w:r>
          </w:p>
        </w:tc>
        <w:tc>
          <w:tcPr>
            <w:tcW w:w="2332" w:type="dxa"/>
            <w:gridSpan w:val="4"/>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r>
              <w:rPr>
                <w:rFonts w:ascii="宋体" w:hAnsi="宋体" w:eastAsia="宋体" w:cs="宋体"/>
                <w:bCs/>
                <w:color w:val="000000" w:themeColor="text1"/>
                <w:kern w:val="0"/>
                <w:szCs w:val="21"/>
                <w14:textFill>
                  <w14:solidFill>
                    <w14:schemeClr w14:val="tx1"/>
                  </w14:solidFill>
                </w14:textFill>
              </w:rPr>
              <w:t>922</w:t>
            </w:r>
          </w:p>
        </w:tc>
        <w:tc>
          <w:tcPr>
            <w:tcW w:w="2618" w:type="dxa"/>
            <w:gridSpan w:val="4"/>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1312" w:type="dxa"/>
          </w:tcPr>
          <w:p>
            <w:pPr>
              <w:jc w:val="center"/>
              <w:textAlignment w:val="center"/>
              <w:rPr>
                <w:rFonts w:ascii="宋体" w:hAnsi="宋体" w:eastAsia="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16" w:type="dxa"/>
            <w:gridSpan w:val="7"/>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选修课程：学分总计、学时总计、占总学时比例</w:t>
            </w:r>
          </w:p>
        </w:tc>
        <w:tc>
          <w:tcPr>
            <w:tcW w:w="2208" w:type="dxa"/>
            <w:gridSpan w:val="4"/>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w:t>
            </w:r>
            <w:r>
              <w:rPr>
                <w:rFonts w:ascii="宋体" w:hAnsi="宋体" w:eastAsia="宋体" w:cs="宋体"/>
                <w:bCs/>
                <w:color w:val="000000" w:themeColor="text1"/>
                <w:kern w:val="0"/>
                <w:szCs w:val="21"/>
                <w14:textFill>
                  <w14:solidFill>
                    <w14:schemeClr w14:val="tx1"/>
                  </w14:solidFill>
                </w14:textFill>
              </w:rPr>
              <w:t>0</w:t>
            </w:r>
          </w:p>
        </w:tc>
        <w:tc>
          <w:tcPr>
            <w:tcW w:w="2332" w:type="dxa"/>
            <w:gridSpan w:val="4"/>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w:t>
            </w:r>
            <w:r>
              <w:rPr>
                <w:rFonts w:ascii="宋体" w:hAnsi="宋体" w:eastAsia="宋体" w:cs="宋体"/>
                <w:bCs/>
                <w:color w:val="000000" w:themeColor="text1"/>
                <w:kern w:val="0"/>
                <w:szCs w:val="21"/>
                <w14:textFill>
                  <w14:solidFill>
                    <w14:schemeClr w14:val="tx1"/>
                  </w14:solidFill>
                </w14:textFill>
              </w:rPr>
              <w:t>20</w:t>
            </w:r>
          </w:p>
        </w:tc>
        <w:tc>
          <w:tcPr>
            <w:tcW w:w="2618" w:type="dxa"/>
            <w:gridSpan w:val="4"/>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r>
              <w:rPr>
                <w:rFonts w:ascii="宋体" w:hAnsi="宋体" w:eastAsia="宋体" w:cs="宋体"/>
                <w:bCs/>
                <w:color w:val="000000" w:themeColor="text1"/>
                <w:kern w:val="0"/>
                <w:szCs w:val="21"/>
                <w14:textFill>
                  <w14:solidFill>
                    <w14:schemeClr w14:val="tx1"/>
                  </w14:solidFill>
                </w14:textFill>
              </w:rPr>
              <w:t>1%</w:t>
            </w:r>
          </w:p>
        </w:tc>
        <w:tc>
          <w:tcPr>
            <w:tcW w:w="1312" w:type="dxa"/>
          </w:tcPr>
          <w:p>
            <w:pPr>
              <w:jc w:val="center"/>
              <w:textAlignment w:val="center"/>
              <w:rPr>
                <w:rFonts w:ascii="宋体" w:hAnsi="宋体" w:eastAsia="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316" w:type="dxa"/>
            <w:gridSpan w:val="7"/>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实践性教学：学时总计、占总学时比例</w:t>
            </w:r>
          </w:p>
        </w:tc>
        <w:tc>
          <w:tcPr>
            <w:tcW w:w="2208" w:type="dxa"/>
            <w:gridSpan w:val="4"/>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1</w:t>
            </w:r>
            <w:r>
              <w:rPr>
                <w:rFonts w:ascii="宋体" w:hAnsi="宋体" w:eastAsia="宋体" w:cs="宋体"/>
                <w:bCs/>
                <w:color w:val="000000" w:themeColor="text1"/>
                <w:kern w:val="0"/>
                <w:szCs w:val="21"/>
                <w14:textFill>
                  <w14:solidFill>
                    <w14:schemeClr w14:val="tx1"/>
                  </w14:solidFill>
                </w14:textFill>
              </w:rPr>
              <w:t>832</w:t>
            </w:r>
          </w:p>
        </w:tc>
        <w:tc>
          <w:tcPr>
            <w:tcW w:w="2332" w:type="dxa"/>
            <w:gridSpan w:val="4"/>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6</w:t>
            </w:r>
            <w:r>
              <w:rPr>
                <w:rFonts w:ascii="宋体" w:hAnsi="宋体" w:eastAsia="宋体" w:cs="宋体"/>
                <w:bCs/>
                <w:color w:val="000000" w:themeColor="text1"/>
                <w:kern w:val="0"/>
                <w:szCs w:val="21"/>
                <w14:textFill>
                  <w14:solidFill>
                    <w14:schemeClr w14:val="tx1"/>
                  </w14:solidFill>
                </w14:textFill>
              </w:rPr>
              <w:t>2.7%</w:t>
            </w:r>
          </w:p>
        </w:tc>
        <w:tc>
          <w:tcPr>
            <w:tcW w:w="2618" w:type="dxa"/>
            <w:gridSpan w:val="4"/>
            <w:vAlign w:val="center"/>
          </w:tcPr>
          <w:p>
            <w:pPr>
              <w:jc w:val="center"/>
              <w:textAlignment w:val="center"/>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w:t>
            </w:r>
          </w:p>
        </w:tc>
        <w:tc>
          <w:tcPr>
            <w:tcW w:w="1312" w:type="dxa"/>
          </w:tcPr>
          <w:p>
            <w:pPr>
              <w:jc w:val="center"/>
              <w:textAlignment w:val="center"/>
              <w:rPr>
                <w:rFonts w:ascii="宋体" w:hAnsi="宋体" w:eastAsia="宋体" w:cs="宋体"/>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786" w:type="dxa"/>
            <w:gridSpan w:val="20"/>
          </w:tcPr>
          <w:p>
            <w:pPr>
              <w:widowControl/>
              <w:jc w:val="left"/>
              <w:textAlignment w:val="top"/>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注：1.课堂教学周=教学活动周数（不小于20周）-实践教学周数；</w:t>
            </w:r>
          </w:p>
          <w:p>
            <w:pPr>
              <w:widowControl/>
              <w:ind w:firstLine="420" w:firstLineChars="200"/>
              <w:jc w:val="left"/>
              <w:textAlignment w:val="top"/>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2.平均周学时仅为校核各学期周学时均衡度；</w:t>
            </w:r>
          </w:p>
          <w:p>
            <w:pPr>
              <w:widowControl/>
              <w:ind w:firstLine="420" w:firstLineChars="200"/>
              <w:jc w:val="left"/>
              <w:textAlignment w:val="top"/>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3.W表示C类课程、军训训练、劳动安全教育、考试、毕业鉴定等的周数；</w:t>
            </w:r>
          </w:p>
          <w:p>
            <w:pPr>
              <w:widowControl/>
              <w:ind w:firstLine="420" w:firstLineChars="200"/>
              <w:jc w:val="left"/>
              <w:textAlignment w:val="top"/>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4.岗位实习可在5,6学期分段安排，累计不少于6个月（26周）；</w:t>
            </w:r>
          </w:p>
          <w:p>
            <w:pPr>
              <w:widowControl/>
              <w:ind w:firstLine="420" w:firstLineChars="200"/>
              <w:jc w:val="left"/>
              <w:textAlignment w:val="top"/>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5.选修课中明确各项工作和学分的转换。</w:t>
            </w:r>
          </w:p>
          <w:p>
            <w:pPr>
              <w:widowControl/>
              <w:ind w:firstLine="420" w:firstLineChars="200"/>
              <w:jc w:val="left"/>
              <w:textAlignment w:val="top"/>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6.标注★的为专业核心课程。</w:t>
            </w:r>
          </w:p>
          <w:p>
            <w:pPr>
              <w:widowControl/>
              <w:ind w:firstLine="420" w:firstLineChars="200"/>
              <w:jc w:val="left"/>
              <w:textAlignment w:val="top"/>
              <w:rPr>
                <w:rFonts w:ascii="宋体" w:hAnsi="宋体" w:eastAsia="宋体" w:cs="宋体"/>
                <w:bCs/>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7.</w:t>
            </w:r>
            <w:r>
              <w:rPr>
                <w:rFonts w:hint="eastAsia" w:ascii="宋体" w:hAnsi="宋体" w:eastAsia="宋体" w:cs="宋体"/>
                <w:bCs/>
                <w:color w:val="000000" w:themeColor="text1"/>
                <w:kern w:val="0"/>
                <w:szCs w:val="21"/>
                <w14:textFill>
                  <w14:solidFill>
                    <w14:schemeClr w14:val="tx1"/>
                  </w14:solidFill>
                </w14:textFill>
              </w:rPr>
              <w:t xml:space="preserve">“课程类型”（A）理论课   （B）理论+实践    （C）实践课； </w:t>
            </w:r>
          </w:p>
          <w:p>
            <w:pPr>
              <w:widowControl/>
              <w:ind w:firstLine="630" w:firstLineChars="300"/>
              <w:jc w:val="left"/>
              <w:textAlignment w:val="top"/>
              <w:rPr>
                <w:rFonts w:ascii="楷体_GB2312" w:hAnsi="楷体_GB2312" w:eastAsia="楷体_GB2312" w:cs="楷体_GB2312"/>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“课程考核”：（A）开卷考试   （B）闭卷考试  （C）实践考核  （D）实习鉴定  （E）报告评定</w:t>
            </w:r>
          </w:p>
        </w:tc>
      </w:tr>
    </w:tbl>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pPr>
    </w:p>
    <w:p>
      <w:pPr>
        <w:pStyle w:val="84"/>
        <w:outlineLvl w:val="1"/>
        <w:rPr>
          <w:rFonts w:ascii="楷体_GB2312" w:hAnsi="楷体_GB2312" w:eastAsia="楷体_GB2312" w:cs="楷体_GB2312"/>
          <w:b w:val="0"/>
          <w:bCs/>
          <w:color w:val="000000" w:themeColor="text1"/>
          <w:sz w:val="28"/>
          <w:szCs w:val="28"/>
          <w14:textFill>
            <w14:solidFill>
              <w14:schemeClr w14:val="tx1"/>
            </w14:solidFill>
          </w14:textFill>
        </w:rPr>
        <w:sectPr>
          <w:headerReference r:id="rId5" w:type="default"/>
          <w:footerReference r:id="rId6" w:type="default"/>
          <w:pgSz w:w="16838" w:h="11906" w:orient="landscape"/>
          <w:pgMar w:top="1418" w:right="1134" w:bottom="244" w:left="1134" w:header="964" w:footer="1304" w:gutter="0"/>
          <w:cols w:space="720" w:num="1"/>
          <w:docGrid w:linePitch="312" w:charSpace="0"/>
        </w:sectPr>
      </w:pPr>
    </w:p>
    <w:bookmarkEnd w:id="33"/>
    <w:bookmarkEnd w:id="34"/>
    <w:p>
      <w:pPr>
        <w:pStyle w:val="35"/>
        <w:spacing w:line="480" w:lineRule="exact"/>
        <w:ind w:left="279" w:leftChars="133" w:firstLine="280" w:firstLineChars="100"/>
        <w:rPr>
          <w:rFonts w:ascii="黑体" w:hAnsi="黑体" w:eastAsia="黑体" w:cs="黑体"/>
          <w:b w:val="0"/>
          <w:bCs/>
          <w:color w:val="000000" w:themeColor="text1"/>
          <w14:textFill>
            <w14:solidFill>
              <w14:schemeClr w14:val="tx1"/>
            </w14:solidFill>
          </w14:textFill>
        </w:rPr>
      </w:pPr>
      <w:bookmarkStart w:id="39" w:name="_Toc38299254"/>
      <w:bookmarkStart w:id="40" w:name="_Toc31424"/>
      <w:bookmarkStart w:id="41" w:name="_Toc38201841"/>
      <w:bookmarkStart w:id="42" w:name="_Hlk98766987"/>
      <w:r>
        <w:rPr>
          <w:rFonts w:hint="eastAsia" w:ascii="黑体" w:hAnsi="黑体" w:eastAsia="黑体" w:cs="黑体"/>
          <w:b w:val="0"/>
          <w:bCs/>
          <w:color w:val="000000" w:themeColor="text1"/>
          <w14:textFill>
            <w14:solidFill>
              <w14:schemeClr w14:val="tx1"/>
            </w14:solidFill>
          </w14:textFill>
        </w:rPr>
        <w:t>八、实施与保障</w:t>
      </w:r>
      <w:bookmarkEnd w:id="39"/>
      <w:bookmarkEnd w:id="40"/>
      <w:bookmarkEnd w:id="41"/>
    </w:p>
    <w:bookmarkEnd w:id="42"/>
    <w:p>
      <w:pPr>
        <w:snapToGrid w:val="0"/>
        <w:spacing w:line="480" w:lineRule="exact"/>
        <w:ind w:firstLine="560" w:firstLineChars="200"/>
        <w:outlineLvl w:val="1"/>
        <w:rPr>
          <w:rFonts w:ascii="楷体_GB2312" w:hAnsi="楷体_GB2312" w:eastAsia="楷体_GB2312" w:cs="楷体_GB2312"/>
          <w:bCs/>
          <w:color w:val="000000" w:themeColor="text1"/>
          <w:sz w:val="28"/>
          <w:szCs w:val="28"/>
          <w14:textFill>
            <w14:solidFill>
              <w14:schemeClr w14:val="tx1"/>
            </w14:solidFill>
          </w14:textFill>
        </w:rPr>
      </w:pPr>
      <w:bookmarkStart w:id="43" w:name="_Toc25638"/>
      <w:r>
        <w:rPr>
          <w:rFonts w:hint="eastAsia" w:ascii="楷体_GB2312" w:hAnsi="楷体_GB2312" w:eastAsia="楷体_GB2312" w:cs="楷体_GB2312"/>
          <w:bCs/>
          <w:color w:val="000000" w:themeColor="text1"/>
          <w:sz w:val="28"/>
          <w:szCs w:val="28"/>
          <w14:textFill>
            <w14:solidFill>
              <w14:schemeClr w14:val="tx1"/>
            </w14:solidFill>
          </w14:textFill>
        </w:rPr>
        <w:t>（一）师资队伍</w:t>
      </w:r>
      <w:bookmarkEnd w:id="43"/>
    </w:p>
    <w:p>
      <w:pPr>
        <w:snapToGrid w:val="0"/>
        <w:spacing w:line="480" w:lineRule="exact"/>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1.专业带头人</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专业带头人原则上应具有副高及以上职称，能够较好地把握国内外汽车维修行业、专业发展，能广泛联系行业企业，了解行业企业对本专业人才的需求实际，教学设计、专业研究能力强，组织开展教科研工作能力强，在本区域或本领域具有一定的专业影响力。</w:t>
      </w:r>
    </w:p>
    <w:p>
      <w:pPr>
        <w:snapToGrid w:val="0"/>
        <w:spacing w:line="480" w:lineRule="exact"/>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2.骨干教师</w:t>
      </w:r>
    </w:p>
    <w:p>
      <w:pPr>
        <w:snapToGrid w:val="0"/>
        <w:spacing w:line="48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专任教师应具有高校教师资格；有理想情操、有扎实学识、有仁爱之心；具有汽车运用与维修、车辆工程等相关专业本科及以上学历；具有扎实的本专业相关理论功底和实践能力；具有较强信息化教学能力，能够开展课程教学改革和科学研究；有每5年累计不少于6个月的企业实践经历。</w:t>
      </w:r>
    </w:p>
    <w:p>
      <w:pPr>
        <w:snapToGrid w:val="0"/>
        <w:spacing w:line="480" w:lineRule="exact"/>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3.兼职教师</w:t>
      </w:r>
    </w:p>
    <w:p>
      <w:pPr>
        <w:snapToGrid w:val="0"/>
        <w:spacing w:line="48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bookmarkStart w:id="44" w:name="_Toc31426"/>
      <w:r>
        <w:rPr>
          <w:rFonts w:hint="eastAsia" w:ascii="仿宋_GB2312" w:hAnsi="仿宋_GB2312" w:eastAsia="仿宋_GB2312" w:cs="仿宋_GB2312"/>
          <w:bCs/>
          <w:color w:val="000000" w:themeColor="text1"/>
          <w:sz w:val="28"/>
          <w:szCs w:val="28"/>
          <w14:textFill>
            <w14:solidFill>
              <w14:schemeClr w14:val="tx1"/>
            </w14:solidFill>
          </w14:textFill>
        </w:rPr>
        <w:t>兼职教师主要从本专业相关的行业企业聘任，具备良好的思想政治素质、职业道德和工匠精神，具有扎实的专业知识和丰富的实际工作经验，具有中级及以上相关专业职称，能承担专业课教学、实习实训指导和学生职业发展规划指导等教学任务。</w:t>
      </w:r>
    </w:p>
    <w:p>
      <w:pPr>
        <w:snapToGrid w:val="0"/>
        <w:spacing w:line="480" w:lineRule="exact"/>
        <w:ind w:firstLine="560" w:firstLineChars="200"/>
        <w:outlineLvl w:val="1"/>
        <w:rPr>
          <w:rFonts w:ascii="楷体_GB2312" w:hAnsi="楷体_GB2312" w:eastAsia="楷体_GB2312" w:cs="楷体_GB2312"/>
          <w:bCs/>
          <w:color w:val="000000" w:themeColor="text1"/>
          <w:sz w:val="28"/>
          <w:szCs w:val="28"/>
          <w14:textFill>
            <w14:solidFill>
              <w14:schemeClr w14:val="tx1"/>
            </w14:solidFill>
          </w14:textFill>
        </w:rPr>
      </w:pPr>
      <w:r>
        <w:rPr>
          <w:rFonts w:hint="eastAsia" w:ascii="楷体_GB2312" w:hAnsi="楷体_GB2312" w:eastAsia="楷体_GB2312" w:cs="楷体_GB2312"/>
          <w:bCs/>
          <w:color w:val="000000" w:themeColor="text1"/>
          <w:sz w:val="28"/>
          <w:szCs w:val="28"/>
          <w14:textFill>
            <w14:solidFill>
              <w14:schemeClr w14:val="tx1"/>
            </w14:solidFill>
          </w14:textFill>
        </w:rPr>
        <w:t>（二）教学设施</w:t>
      </w:r>
      <w:bookmarkEnd w:id="44"/>
    </w:p>
    <w:p>
      <w:pPr>
        <w:snapToGrid w:val="0"/>
        <w:spacing w:line="480" w:lineRule="exact"/>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1.校内实践教学条件</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本专业现有实训室</w:t>
      </w:r>
      <w:r>
        <w:rPr>
          <w:rFonts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个</w:t>
      </w:r>
    </w:p>
    <w:tbl>
      <w:tblPr>
        <w:tblStyle w:val="27"/>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02"/>
        <w:gridCol w:w="4122"/>
        <w:gridCol w:w="2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pPr>
              <w:snapToGrid w:val="0"/>
              <w:spacing w:line="52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序号</w:t>
            </w:r>
          </w:p>
        </w:tc>
        <w:tc>
          <w:tcPr>
            <w:tcW w:w="1802" w:type="dxa"/>
            <w:shd w:val="clear" w:color="auto" w:fill="auto"/>
            <w:vAlign w:val="center"/>
          </w:tcPr>
          <w:p>
            <w:pPr>
              <w:snapToGrid w:val="0"/>
              <w:spacing w:line="52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名称</w:t>
            </w:r>
          </w:p>
        </w:tc>
        <w:tc>
          <w:tcPr>
            <w:tcW w:w="4122" w:type="dxa"/>
            <w:shd w:val="clear" w:color="auto" w:fill="auto"/>
            <w:vAlign w:val="center"/>
          </w:tcPr>
          <w:p>
            <w:pPr>
              <w:snapToGrid w:val="0"/>
              <w:spacing w:line="52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主要设备</w:t>
            </w:r>
          </w:p>
        </w:tc>
        <w:tc>
          <w:tcPr>
            <w:tcW w:w="2037" w:type="dxa"/>
            <w:shd w:val="clear" w:color="auto" w:fill="auto"/>
            <w:vAlign w:val="center"/>
          </w:tcPr>
          <w:p>
            <w:pPr>
              <w:snapToGrid w:val="0"/>
              <w:spacing w:line="52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服务本专业课程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1802" w:type="dxa"/>
            <w:shd w:val="clear" w:color="auto" w:fill="auto"/>
            <w:vAlign w:val="center"/>
          </w:tcPr>
          <w:p>
            <w:pPr>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电工电子实训室</w:t>
            </w:r>
          </w:p>
        </w:tc>
        <w:tc>
          <w:tcPr>
            <w:tcW w:w="4122" w:type="dxa"/>
            <w:shd w:val="clear" w:color="auto" w:fill="auto"/>
            <w:vAlign w:val="center"/>
          </w:tcPr>
          <w:p>
            <w:pPr>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电工电子综合试验台及通用示波器、万用表、电工工具等</w:t>
            </w:r>
          </w:p>
        </w:tc>
        <w:tc>
          <w:tcPr>
            <w:tcW w:w="2037" w:type="dxa"/>
            <w:shd w:val="clear" w:color="auto" w:fill="auto"/>
            <w:vAlign w:val="center"/>
          </w:tcPr>
          <w:p>
            <w:pPr>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汽车电工电子基础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p>
        </w:tc>
        <w:tc>
          <w:tcPr>
            <w:tcW w:w="1802" w:type="dxa"/>
            <w:shd w:val="clear" w:color="auto" w:fill="auto"/>
            <w:vAlign w:val="center"/>
          </w:tcPr>
          <w:p>
            <w:pPr>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汽车发动机机械实训室</w:t>
            </w:r>
          </w:p>
        </w:tc>
        <w:tc>
          <w:tcPr>
            <w:tcW w:w="4122" w:type="dxa"/>
            <w:shd w:val="clear" w:color="auto" w:fill="auto"/>
            <w:vAlign w:val="center"/>
          </w:tcPr>
          <w:p>
            <w:pPr>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实物解剖发动机、连杆校正器、气门座口修复设备、零部什清洗设备及发动机维修测量常用工具等</w:t>
            </w:r>
          </w:p>
        </w:tc>
        <w:tc>
          <w:tcPr>
            <w:tcW w:w="2037" w:type="dxa"/>
            <w:shd w:val="clear" w:color="auto" w:fill="auto"/>
            <w:vAlign w:val="center"/>
          </w:tcPr>
          <w:p>
            <w:pPr>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汽车发动机故障诊断与修复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w:t>
            </w:r>
          </w:p>
        </w:tc>
        <w:tc>
          <w:tcPr>
            <w:tcW w:w="1802" w:type="dxa"/>
            <w:shd w:val="clear" w:color="auto" w:fill="auto"/>
            <w:vAlign w:val="center"/>
          </w:tcPr>
          <w:p>
            <w:pPr>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汽车发动机控制系统工位</w:t>
            </w:r>
          </w:p>
        </w:tc>
        <w:tc>
          <w:tcPr>
            <w:tcW w:w="4122" w:type="dxa"/>
            <w:shd w:val="clear" w:color="auto" w:fill="auto"/>
            <w:vAlign w:val="center"/>
          </w:tcPr>
          <w:p>
            <w:pPr>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发动机各系统示教板、发动机各系统零部件、发动机总成实训台、</w:t>
            </w:r>
          </w:p>
        </w:tc>
        <w:tc>
          <w:tcPr>
            <w:tcW w:w="2037" w:type="dxa"/>
            <w:shd w:val="clear" w:color="auto" w:fill="auto"/>
            <w:vAlign w:val="center"/>
          </w:tcPr>
          <w:p>
            <w:pPr>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汽车发动机故障诊断与修复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w:t>
            </w:r>
          </w:p>
        </w:tc>
        <w:tc>
          <w:tcPr>
            <w:tcW w:w="1802" w:type="dxa"/>
            <w:shd w:val="clear" w:color="auto" w:fill="auto"/>
            <w:vAlign w:val="center"/>
          </w:tcPr>
          <w:p>
            <w:pPr>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汽车底盘机械实训室</w:t>
            </w:r>
          </w:p>
        </w:tc>
        <w:tc>
          <w:tcPr>
            <w:tcW w:w="4122" w:type="dxa"/>
            <w:shd w:val="clear" w:color="auto" w:fill="auto"/>
            <w:vAlign w:val="center"/>
          </w:tcPr>
          <w:p>
            <w:pPr>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汽车底盘解剖实物、转向系及前桥总成、离合器总成、手动变速器总成、自动变速器总成、传动轴总成、后桥及悬架总成、制动系统总成，以及汽车底盘检测所需的仪器设备，轮胎拆装机、轮胎动平衡机等</w:t>
            </w:r>
          </w:p>
        </w:tc>
        <w:tc>
          <w:tcPr>
            <w:tcW w:w="2037" w:type="dxa"/>
            <w:shd w:val="clear" w:color="auto" w:fill="auto"/>
            <w:vAlign w:val="center"/>
          </w:tcPr>
          <w:p>
            <w:pPr>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汽车底盘及电控技术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w:t>
            </w:r>
          </w:p>
        </w:tc>
        <w:tc>
          <w:tcPr>
            <w:tcW w:w="1802" w:type="dxa"/>
            <w:shd w:val="clear" w:color="auto" w:fill="auto"/>
            <w:vAlign w:val="center"/>
          </w:tcPr>
          <w:p>
            <w:pPr>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汽车电气工位</w:t>
            </w:r>
          </w:p>
        </w:tc>
        <w:tc>
          <w:tcPr>
            <w:tcW w:w="4122" w:type="dxa"/>
            <w:shd w:val="clear" w:color="auto" w:fill="auto"/>
            <w:vAlign w:val="center"/>
          </w:tcPr>
          <w:p>
            <w:pPr>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点火系统示教台、汽车电气系统示教台(包含发电系统、起动系统、灯光系统、辅助电气设备等)、汽车电气系统考核装置，常见系统部件及检测工具，汽车电气各部件总成、汽车专用万用表、汽车专用示波器、空调制冷剂电子测漏仪、制冷剂加注回收机、汽车故障电脑诊断仪、常用拆装工具等</w:t>
            </w:r>
          </w:p>
        </w:tc>
        <w:tc>
          <w:tcPr>
            <w:tcW w:w="2037" w:type="dxa"/>
            <w:shd w:val="clear" w:color="auto" w:fill="auto"/>
            <w:vAlign w:val="center"/>
          </w:tcPr>
          <w:p>
            <w:pPr>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汽车电气设备检修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6</w:t>
            </w:r>
          </w:p>
        </w:tc>
        <w:tc>
          <w:tcPr>
            <w:tcW w:w="1802" w:type="dxa"/>
            <w:shd w:val="clear" w:color="auto" w:fill="auto"/>
            <w:vAlign w:val="center"/>
          </w:tcPr>
          <w:p>
            <w:pPr>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汽车整车工位</w:t>
            </w:r>
          </w:p>
        </w:tc>
        <w:tc>
          <w:tcPr>
            <w:tcW w:w="4122" w:type="dxa"/>
            <w:shd w:val="clear" w:color="auto" w:fill="auto"/>
            <w:vAlign w:val="center"/>
          </w:tcPr>
          <w:p>
            <w:pPr>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汽车整车以及整车检测维修所需设备，举升机、汽车专用万用表、汽车专用示波器、汽车故障诊断仪、尾气分析仪等</w:t>
            </w:r>
          </w:p>
        </w:tc>
        <w:tc>
          <w:tcPr>
            <w:tcW w:w="2037" w:type="dxa"/>
            <w:shd w:val="clear" w:color="auto" w:fill="auto"/>
            <w:vAlign w:val="center"/>
          </w:tcPr>
          <w:p>
            <w:pPr>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汽车维护与保养、汽车检测与故障诊断、汽车营销等课程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pPr>
              <w:snapToGrid w:val="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w:t>
            </w:r>
          </w:p>
        </w:tc>
        <w:tc>
          <w:tcPr>
            <w:tcW w:w="1802" w:type="dxa"/>
            <w:shd w:val="clear" w:color="auto" w:fill="auto"/>
            <w:vAlign w:val="center"/>
          </w:tcPr>
          <w:p>
            <w:pPr>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车身修复及涂装工位</w:t>
            </w:r>
          </w:p>
        </w:tc>
        <w:tc>
          <w:tcPr>
            <w:tcW w:w="4122" w:type="dxa"/>
            <w:shd w:val="clear" w:color="auto" w:fill="auto"/>
            <w:vAlign w:val="center"/>
          </w:tcPr>
          <w:p>
            <w:pPr>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大梁校正仪，外形修复机、二氧化碳保护焊机、调漆台、喷漆房、抛光机、打蜡机等常用钣金、喷漆、美容工具设备</w:t>
            </w:r>
          </w:p>
        </w:tc>
        <w:tc>
          <w:tcPr>
            <w:tcW w:w="2037" w:type="dxa"/>
            <w:shd w:val="clear" w:color="auto" w:fill="auto"/>
            <w:vAlign w:val="center"/>
          </w:tcPr>
          <w:p>
            <w:pPr>
              <w:snapToGrid w:val="0"/>
              <w:jc w:val="left"/>
              <w:rPr>
                <w:rFonts w:asciiTheme="minorEastAsia" w:hAnsiTheme="minorEastAsia" w:cstheme="minorEastAsia"/>
                <w:color w:val="000000" w:themeColor="text1"/>
                <w:szCs w:val="21"/>
                <w14:textFill>
                  <w14:solidFill>
                    <w14:schemeClr w14:val="tx1"/>
                  </w14:solidFill>
                </w14:textFill>
              </w:rPr>
            </w:pPr>
            <w:r>
              <w:rPr>
                <w:rFonts w:hint="eastAsia" w:ascii="宋体" w:hAnsi="宋体" w:eastAsia="宋体" w:cs="宋体"/>
                <w:bCs/>
                <w:color w:val="000000" w:themeColor="text1"/>
                <w:kern w:val="0"/>
                <w:szCs w:val="21"/>
                <w14:textFill>
                  <w14:solidFill>
                    <w14:schemeClr w14:val="tx1"/>
                  </w14:solidFill>
                </w14:textFill>
              </w:rPr>
              <w:t>车身综合修复训练</w:t>
            </w:r>
            <w:r>
              <w:rPr>
                <w:rFonts w:hint="eastAsia" w:asciiTheme="minorEastAsia" w:hAnsiTheme="minorEastAsia" w:cstheme="minorEastAsia"/>
                <w:color w:val="000000" w:themeColor="text1"/>
                <w:szCs w:val="21"/>
                <w14:textFill>
                  <w14:solidFill>
                    <w14:schemeClr w14:val="tx1"/>
                  </w14:solidFill>
                </w14:textFill>
              </w:rPr>
              <w:t>等课程</w:t>
            </w:r>
          </w:p>
        </w:tc>
      </w:tr>
    </w:tbl>
    <w:p>
      <w:pPr>
        <w:snapToGrid w:val="0"/>
        <w:spacing w:line="480" w:lineRule="exact"/>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2.校外实践教学条件</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为提高学生的岗位实践能力，体验企业的管理模式，提前在学生的头脑当中建立质量意识、时间观念、效益的概念，以及建立安全第一的生产意识，要在学校周边地区建设一批适合学生岗位实习、半工半读教学形式的校外实训基地。由企业能工巧匠、工程技术人员承担部分教学任务。企业兼职教师参与指导现场教学或岗位实习，学生在实训基地将完成汽车保养维护、汽车机械拆装、汽车故障诊断、汽车车身修复等实训。同时，也派教师进入企业，为企业提供技术服务；培训企业员工，成为教师和员工的双重身份。</w:t>
      </w:r>
    </w:p>
    <w:p>
      <w:pPr>
        <w:snapToGrid w:val="0"/>
        <w:spacing w:line="480" w:lineRule="exact"/>
        <w:ind w:firstLine="560" w:firstLineChars="200"/>
        <w:outlineLvl w:val="1"/>
        <w:rPr>
          <w:rFonts w:ascii="楷体_GB2312" w:hAnsi="楷体_GB2312" w:eastAsia="楷体_GB2312" w:cs="楷体_GB2312"/>
          <w:bCs/>
          <w:color w:val="000000" w:themeColor="text1"/>
          <w:sz w:val="28"/>
          <w:szCs w:val="28"/>
          <w14:textFill>
            <w14:solidFill>
              <w14:schemeClr w14:val="tx1"/>
            </w14:solidFill>
          </w14:textFill>
        </w:rPr>
      </w:pPr>
      <w:bookmarkStart w:id="45" w:name="_Toc4916"/>
      <w:r>
        <w:rPr>
          <w:rFonts w:hint="eastAsia" w:ascii="楷体_GB2312" w:hAnsi="楷体_GB2312" w:eastAsia="楷体_GB2312" w:cs="楷体_GB2312"/>
          <w:bCs/>
          <w:color w:val="000000" w:themeColor="text1"/>
          <w:sz w:val="28"/>
          <w:szCs w:val="28"/>
          <w14:textFill>
            <w14:solidFill>
              <w14:schemeClr w14:val="tx1"/>
            </w14:solidFill>
          </w14:textFill>
        </w:rPr>
        <w:t>（三）教学资源</w:t>
      </w:r>
      <w:bookmarkEnd w:id="45"/>
    </w:p>
    <w:p>
      <w:pPr>
        <w:snapToGrid w:val="0"/>
        <w:spacing w:line="48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教学资源主要包括能够满足学生专业学习、教师专业教学研究和教学实施所需的教材、图书文献及数字教学资源等。</w:t>
      </w:r>
    </w:p>
    <w:p>
      <w:pPr>
        <w:snapToGrid w:val="0"/>
        <w:spacing w:line="480" w:lineRule="exact"/>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1.教材选用基本要求</w:t>
      </w:r>
    </w:p>
    <w:p>
      <w:pPr>
        <w:snapToGrid w:val="0"/>
        <w:spacing w:line="48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按照国家规定选用优质教材，禁止不合格的教材进入课堂。学校建立有教材工作委员会，完善教材选用制度，经过规范程序择优选用教材。</w:t>
      </w:r>
    </w:p>
    <w:p>
      <w:pPr>
        <w:snapToGrid w:val="0"/>
        <w:spacing w:line="480" w:lineRule="exact"/>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2.图书文献配备基本要求</w:t>
      </w:r>
    </w:p>
    <w:p>
      <w:pPr>
        <w:snapToGrid w:val="0"/>
        <w:spacing w:line="48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图书文献配备能满足人才培养、专业建设、教科研等工作的需要，方便师生查询、借阅。专业类图书文献主要包括：有关汽车检测与维修的技术、标准、方法、操作规范以及实务案例类图书等。</w:t>
      </w:r>
    </w:p>
    <w:p>
      <w:pPr>
        <w:snapToGrid w:val="0"/>
        <w:spacing w:line="480" w:lineRule="exact"/>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3.数字教学资源配置基本要求</w:t>
      </w:r>
    </w:p>
    <w:p>
      <w:pPr>
        <w:snapToGrid w:val="0"/>
        <w:spacing w:line="480" w:lineRule="exact"/>
        <w:ind w:firstLine="560" w:firstLineChars="200"/>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建设、配备与本专业有关的音视频素材、教学课件、数字化教学案例库、虚拟仿真软件、数字教材等专业教学资源库，应种类丰富、形式多样、使用便捷、动态更新，能满足教学要求。</w:t>
      </w:r>
    </w:p>
    <w:p>
      <w:pPr>
        <w:snapToGrid w:val="0"/>
        <w:spacing w:line="480" w:lineRule="exact"/>
        <w:ind w:firstLine="560" w:firstLineChars="200"/>
        <w:outlineLvl w:val="1"/>
        <w:rPr>
          <w:rFonts w:ascii="楷体_GB2312" w:hAnsi="楷体_GB2312" w:eastAsia="楷体_GB2312" w:cs="楷体_GB2312"/>
          <w:bCs/>
          <w:color w:val="000000" w:themeColor="text1"/>
          <w:sz w:val="28"/>
          <w:szCs w:val="28"/>
          <w14:textFill>
            <w14:solidFill>
              <w14:schemeClr w14:val="tx1"/>
            </w14:solidFill>
          </w14:textFill>
        </w:rPr>
      </w:pPr>
      <w:bookmarkStart w:id="46" w:name="_Toc30455"/>
      <w:r>
        <w:rPr>
          <w:rFonts w:hint="eastAsia" w:ascii="楷体_GB2312" w:hAnsi="楷体_GB2312" w:eastAsia="楷体_GB2312" w:cs="楷体_GB2312"/>
          <w:bCs/>
          <w:color w:val="000000" w:themeColor="text1"/>
          <w:sz w:val="28"/>
          <w:szCs w:val="28"/>
          <w14:textFill>
            <w14:solidFill>
              <w14:schemeClr w14:val="tx1"/>
            </w14:solidFill>
          </w14:textFill>
        </w:rPr>
        <w:t>（四）教学方法</w:t>
      </w:r>
      <w:bookmarkEnd w:id="46"/>
    </w:p>
    <w:p>
      <w:pPr>
        <w:snapToGrid w:val="0"/>
        <w:spacing w:line="480" w:lineRule="exact"/>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1.教学方法</w:t>
      </w:r>
    </w:p>
    <w:p>
      <w:pPr>
        <w:snapToGrid w:val="0"/>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不断探索教学模式和教学方法的改革与创新，探索任务驱动、项目导向等有利于增强学生能力的教学模式，探索课堂与实习地点一体化，学生在教师和技术人员的共同指导下学习和实践，实现教室与车间合一、教师与师傅合一、学生与徒弟合一、作业与产品合一，在真实职业情境中实施教学，教学方法以边讲边练、讲练结合为主，强化学生能力培养。</w:t>
      </w:r>
    </w:p>
    <w:p>
      <w:pPr>
        <w:snapToGrid w:val="0"/>
        <w:spacing w:line="480" w:lineRule="exact"/>
        <w:ind w:firstLine="562"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2.教学手段</w:t>
      </w:r>
    </w:p>
    <w:p>
      <w:pPr>
        <w:snapToGrid w:val="0"/>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充分运用现代教育技术，通过实物展示、动画演示、视频资料，将比较复杂的工作过程利用生动的图像及动画形式进行虚拟演示，优化教学过程，给学生比较强烈的直观感受，有助于学生理解，同时使课堂教学生动活泼、引人入胜，提高教学质量和效率。</w:t>
      </w:r>
    </w:p>
    <w:p>
      <w:pPr>
        <w:snapToGrid w:val="0"/>
        <w:spacing w:line="480" w:lineRule="exact"/>
        <w:ind w:firstLine="560" w:firstLineChars="200"/>
        <w:outlineLvl w:val="1"/>
        <w:rPr>
          <w:rFonts w:ascii="楷体_GB2312" w:hAnsi="楷体_GB2312" w:eastAsia="楷体_GB2312" w:cs="楷体_GB2312"/>
          <w:bCs/>
          <w:color w:val="000000" w:themeColor="text1"/>
          <w:sz w:val="28"/>
          <w:szCs w:val="28"/>
          <w14:textFill>
            <w14:solidFill>
              <w14:schemeClr w14:val="tx1"/>
            </w14:solidFill>
          </w14:textFill>
        </w:rPr>
      </w:pPr>
      <w:bookmarkStart w:id="47" w:name="_Toc16020"/>
      <w:r>
        <w:rPr>
          <w:rFonts w:hint="eastAsia" w:ascii="楷体_GB2312" w:hAnsi="楷体_GB2312" w:eastAsia="楷体_GB2312" w:cs="楷体_GB2312"/>
          <w:bCs/>
          <w:color w:val="000000" w:themeColor="text1"/>
          <w:sz w:val="28"/>
          <w:szCs w:val="28"/>
          <w14:textFill>
            <w14:solidFill>
              <w14:schemeClr w14:val="tx1"/>
            </w14:solidFill>
          </w14:textFill>
        </w:rPr>
        <w:t>（五）学习评价</w:t>
      </w:r>
      <w:bookmarkEnd w:id="47"/>
    </w:p>
    <w:p>
      <w:pPr>
        <w:snapToGrid w:val="0"/>
        <w:spacing w:line="480" w:lineRule="exact"/>
        <w:ind w:firstLine="560"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提倡灵活多样的考核方式，将过程评价和结果评价相结合，开卷考试与总结汇报相结合，笔试与操作考核相结合，突出学生的能力考核和技能考核。在项目课程中，参照企业的评价方式，推行等级评价方式。生产性实习和岗位实习的评价由校内指导教师和企业指导教师共同完成。</w:t>
      </w:r>
    </w:p>
    <w:p>
      <w:pPr>
        <w:snapToGrid w:val="0"/>
        <w:spacing w:line="480" w:lineRule="exact"/>
        <w:ind w:firstLine="560" w:firstLineChars="200"/>
        <w:outlineLvl w:val="1"/>
        <w:rPr>
          <w:rFonts w:ascii="楷体_GB2312" w:hAnsi="楷体_GB2312" w:eastAsia="楷体_GB2312" w:cs="楷体_GB2312"/>
          <w:bCs/>
          <w:color w:val="000000" w:themeColor="text1"/>
          <w:sz w:val="28"/>
          <w:szCs w:val="28"/>
          <w14:textFill>
            <w14:solidFill>
              <w14:schemeClr w14:val="tx1"/>
            </w14:solidFill>
          </w14:textFill>
        </w:rPr>
      </w:pPr>
      <w:bookmarkStart w:id="48" w:name="_Toc24701"/>
      <w:r>
        <w:rPr>
          <w:rFonts w:hint="eastAsia" w:ascii="楷体_GB2312" w:hAnsi="楷体_GB2312" w:eastAsia="楷体_GB2312" w:cs="楷体_GB2312"/>
          <w:bCs/>
          <w:color w:val="000000" w:themeColor="text1"/>
          <w:sz w:val="28"/>
          <w:szCs w:val="28"/>
          <w14:textFill>
            <w14:solidFill>
              <w14:schemeClr w14:val="tx1"/>
            </w14:solidFill>
          </w14:textFill>
        </w:rPr>
        <w:t>（六）质量管理</w:t>
      </w:r>
      <w:bookmarkEnd w:id="48"/>
    </w:p>
    <w:p>
      <w:pPr>
        <w:snapToGrid w:val="0"/>
        <w:spacing w:line="480" w:lineRule="exact"/>
        <w:ind w:firstLine="562" w:firstLineChars="200"/>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1.组织保障</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学院实施院、系（部）二级教学质量管理机制。</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（1）学院相关部门实施一级管理</w:t>
      </w:r>
    </w:p>
    <w:p>
      <w:pPr>
        <w:spacing w:line="480" w:lineRule="exact"/>
        <w:ind w:firstLine="562"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专业建设委员会：</w:t>
      </w:r>
      <w:r>
        <w:rPr>
          <w:rFonts w:hint="eastAsia" w:ascii="仿宋_GB2312" w:hAnsi="仿宋_GB2312" w:eastAsia="仿宋_GB2312" w:cs="仿宋_GB2312"/>
          <w:color w:val="000000" w:themeColor="text1"/>
          <w:sz w:val="28"/>
          <w:szCs w:val="28"/>
          <w14:textFill>
            <w14:solidFill>
              <w14:schemeClr w14:val="tx1"/>
            </w14:solidFill>
          </w14:textFill>
        </w:rPr>
        <w:t>行使学院教学指导职能。主要监控专业人才培养目标定位、重大教学改革方案和人才培养方案的制定、修订，实验实训室建设等。</w:t>
      </w:r>
    </w:p>
    <w:p>
      <w:pPr>
        <w:spacing w:line="480" w:lineRule="exact"/>
        <w:ind w:firstLine="562" w:firstLineChars="200"/>
        <w:jc w:val="left"/>
        <w:rPr>
          <w:rFonts w:ascii="仿宋_GB2312" w:hAnsi="仿宋_GB2312" w:eastAsia="仿宋_GB2312" w:cs="仿宋_GB2312"/>
          <w:color w:val="000000" w:themeColor="text1"/>
          <w:sz w:val="28"/>
          <w:szCs w:val="28"/>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职能部门：</w:t>
      </w:r>
      <w:r>
        <w:rPr>
          <w:rFonts w:hint="eastAsia" w:ascii="仿宋_GB2312" w:hAnsi="仿宋_GB2312" w:eastAsia="仿宋_GB2312" w:cs="仿宋_GB2312"/>
          <w:color w:val="000000" w:themeColor="text1"/>
          <w:sz w:val="28"/>
          <w:szCs w:val="28"/>
          <w:shd w:val="clear" w:color="auto" w:fill="FFFFFF"/>
          <w14:textFill>
            <w14:solidFill>
              <w14:schemeClr w14:val="tx1"/>
            </w14:solidFill>
          </w14:textFill>
        </w:rPr>
        <w:t>以保障和提高教学质量为目标，运用系统方法，依靠必要的组织结构，统筹考虑影响教学质量的各主要因素，结合教学诊断与改进、质量年报等职业院校自主保证人才培养质量工作，统筹管理学校各部门、各环节的教学质量管理活动，形成任务、职责、权限明确，相互协调、相互促进的质量管理工作机制。</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（2）各系（部）实施二级管理</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建立专业建设和教学质量诊断与改进机制，健全教学质量监控管理制度，完善课堂教学、教学评价、实习实训、毕业设计以及专业调研、人才培养方案修订、资源建设等方面质量标准建设，通过教学实施、过程监控、质量评价和持续改进，达成人才培养目标和规格。</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完善教学管理机制，加强日常教学组织运行与管理，开展课程建设工作，建立健全巡课、听课、评教、评学等制度，定期开展公开课、示范课等教研活动。建立与企业联动的实践教学环节督导制度，严明教学纪律，强化教学组织。</w:t>
      </w:r>
    </w:p>
    <w:p>
      <w:pPr>
        <w:spacing w:line="480" w:lineRule="exact"/>
        <w:ind w:firstLine="562" w:firstLineChars="200"/>
        <w:jc w:val="left"/>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2.制度保障</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（1）教学运行及教学管理相关检查制度</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每学期开展期中、期末两次集中教学检查，教学检查覆盖教师教学的备课、课堂讲授、作业批改、实验实习、辅导答疑、考试、阅卷、试卷分析、毕业汇报等教学全过程。</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（2）师资队伍建设制度</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所有新教师进校必须符合学校教师准入条件。新进教师上课，应履行试讲手续。制定《专业带头人与骨干教师评选办法》《教师培训与培养实施办法》等制度保障教师队伍建设工作，提高专业教师的整体素质，确保人才培养质量。</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（3）听课制度</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听课制度要求从学院领导至新招聘教师，每学期必须按要求完成一定量的听课工作。院级领导、系主任及行政部门中层干部深入教学第一线定期听课、督查教学过程，解决教学中存在的问题；老教师听课对新教师起到督导和传帮带作用，新教师通过听课掌握教学的基本技巧，学会如何上好一堂课。</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（4）教师教学质量考核制度</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建立教师考核制度，通过学生评教、教师互评、系部评教的形式，对每一位教师的课堂教学工作做出合理的评价。</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（5）毕业生跟踪调查制度</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由各系向用人单位了解毕业生在社会的反响，向毕业生了解学校课程体系和教学内容的社会适应性，根据反馈的信息及时调整培养方案和进行教学改革。</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（6）校企合作制度建设</w:t>
      </w:r>
    </w:p>
    <w:p>
      <w:pPr>
        <w:spacing w:line="48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不断推进校企合作走向深入，与重点合作企业成立“订单班”，共同制定人才培养方案、开发课程、教材等，探索实施人才共育、师资共享、实训条件共建等工作模式。</w:t>
      </w:r>
    </w:p>
    <w:p>
      <w:pPr>
        <w:snapToGrid w:val="0"/>
        <w:spacing w:line="480" w:lineRule="exact"/>
        <w:ind w:firstLine="560" w:firstLineChars="200"/>
        <w:outlineLvl w:val="0"/>
        <w:rPr>
          <w:rFonts w:ascii="黑体" w:hAnsi="黑体" w:eastAsia="黑体" w:cs="黑体"/>
          <w:bCs/>
          <w:color w:val="000000" w:themeColor="text1"/>
          <w:sz w:val="28"/>
          <w:szCs w:val="28"/>
          <w14:textFill>
            <w14:solidFill>
              <w14:schemeClr w14:val="tx1"/>
            </w14:solidFill>
          </w14:textFill>
        </w:rPr>
      </w:pPr>
      <w:bookmarkStart w:id="49" w:name="_Toc23606"/>
      <w:r>
        <w:rPr>
          <w:rFonts w:hint="eastAsia" w:ascii="黑体" w:hAnsi="黑体" w:eastAsia="黑体" w:cs="黑体"/>
          <w:bCs/>
          <w:color w:val="000000" w:themeColor="text1"/>
          <w:sz w:val="28"/>
          <w:szCs w:val="28"/>
          <w14:textFill>
            <w14:solidFill>
              <w14:schemeClr w14:val="tx1"/>
            </w14:solidFill>
          </w14:textFill>
        </w:rPr>
        <w:t>九、毕业生要求</w:t>
      </w:r>
      <w:bookmarkEnd w:id="49"/>
    </w:p>
    <w:p>
      <w:pPr>
        <w:spacing w:line="480" w:lineRule="exact"/>
        <w:ind w:firstLine="560" w:firstLineChars="200"/>
        <w:textAlignment w:val="top"/>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学生通过3年的学习，要求学生所学的全部课程考试合格，获得通用证书以及行业资格证书，并达到本专业人才培养目标和培养规格的要求。</w:t>
      </w:r>
      <w:bookmarkStart w:id="50" w:name="_Hlk76643124"/>
      <w:r>
        <w:rPr>
          <w:rFonts w:hint="eastAsia" w:ascii="仿宋_GB2312" w:hAnsi="仿宋_GB2312" w:eastAsia="仿宋_GB2312" w:cs="仿宋_GB2312"/>
          <w:color w:val="000000" w:themeColor="text1"/>
          <w:sz w:val="28"/>
          <w:szCs w:val="28"/>
          <w14:textFill>
            <w14:solidFill>
              <w14:schemeClr w14:val="tx1"/>
            </w14:solidFill>
          </w14:textFill>
        </w:rPr>
        <w:t>学生须修满本专业人才培养方案规定的</w:t>
      </w:r>
      <w:r>
        <w:rPr>
          <w:rFonts w:ascii="仿宋_GB2312" w:hAnsi="仿宋_GB2312" w:eastAsia="仿宋_GB2312" w:cs="仿宋_GB2312"/>
          <w:color w:val="000000" w:themeColor="text1"/>
          <w:sz w:val="28"/>
          <w:szCs w:val="28"/>
          <w14:textFill>
            <w14:solidFill>
              <w14:schemeClr w14:val="tx1"/>
            </w14:solidFill>
          </w14:textFill>
        </w:rPr>
        <w:t>2922</w:t>
      </w:r>
      <w:r>
        <w:rPr>
          <w:rFonts w:hint="eastAsia" w:ascii="仿宋_GB2312" w:hAnsi="仿宋_GB2312" w:eastAsia="仿宋_GB2312" w:cs="仿宋_GB2312"/>
          <w:color w:val="000000" w:themeColor="text1"/>
          <w:sz w:val="28"/>
          <w:szCs w:val="28"/>
          <w14:textFill>
            <w14:solidFill>
              <w14:schemeClr w14:val="tx1"/>
            </w14:solidFill>
          </w14:textFill>
        </w:rPr>
        <w:t>学时、</w:t>
      </w:r>
      <w:r>
        <w:rPr>
          <w:rFonts w:ascii="仿宋_GB2312" w:hAnsi="仿宋_GB2312" w:eastAsia="仿宋_GB2312" w:cs="仿宋_GB2312"/>
          <w:color w:val="000000" w:themeColor="text1"/>
          <w:sz w:val="28"/>
          <w:szCs w:val="28"/>
          <w14:textFill>
            <w14:solidFill>
              <w14:schemeClr w14:val="tx1"/>
            </w14:solidFill>
          </w14:textFill>
        </w:rPr>
        <w:t>158</w:t>
      </w:r>
      <w:r>
        <w:rPr>
          <w:rFonts w:hint="eastAsia" w:ascii="仿宋_GB2312" w:hAnsi="仿宋_GB2312" w:eastAsia="仿宋_GB2312" w:cs="仿宋_GB2312"/>
          <w:color w:val="000000" w:themeColor="text1"/>
          <w:sz w:val="28"/>
          <w:szCs w:val="28"/>
          <w14:textFill>
            <w14:solidFill>
              <w14:schemeClr w14:val="tx1"/>
            </w14:solidFill>
          </w14:textFill>
        </w:rPr>
        <w:t>学分。其中公共基础必修课程</w:t>
      </w:r>
      <w:r>
        <w:rPr>
          <w:rFonts w:ascii="仿宋_GB2312" w:hAnsi="仿宋_GB2312" w:eastAsia="仿宋_GB2312" w:cs="仿宋_GB2312"/>
          <w:color w:val="000000" w:themeColor="text1"/>
          <w:sz w:val="28"/>
          <w:szCs w:val="28"/>
          <w14:textFill>
            <w14:solidFill>
              <w14:schemeClr w14:val="tx1"/>
            </w14:solidFill>
          </w14:textFill>
        </w:rPr>
        <w:t>702</w:t>
      </w:r>
      <w:r>
        <w:rPr>
          <w:rFonts w:hint="eastAsia" w:ascii="仿宋_GB2312" w:hAnsi="仿宋_GB2312" w:eastAsia="仿宋_GB2312" w:cs="仿宋_GB2312"/>
          <w:color w:val="000000" w:themeColor="text1"/>
          <w:sz w:val="28"/>
          <w:szCs w:val="28"/>
          <w14:textFill>
            <w14:solidFill>
              <w14:schemeClr w14:val="tx1"/>
            </w14:solidFill>
          </w14:textFill>
        </w:rPr>
        <w:t>课时、</w:t>
      </w:r>
      <w:r>
        <w:rPr>
          <w:rFonts w:ascii="仿宋_GB2312" w:hAnsi="仿宋_GB2312" w:eastAsia="仿宋_GB2312" w:cs="仿宋_GB2312"/>
          <w:color w:val="000000" w:themeColor="text1"/>
          <w:sz w:val="28"/>
          <w:szCs w:val="28"/>
          <w14:textFill>
            <w14:solidFill>
              <w14:schemeClr w14:val="tx1"/>
            </w14:solidFill>
          </w14:textFill>
        </w:rPr>
        <w:t>42</w:t>
      </w:r>
      <w:r>
        <w:rPr>
          <w:rFonts w:hint="eastAsia" w:ascii="仿宋_GB2312" w:hAnsi="仿宋_GB2312" w:eastAsia="仿宋_GB2312" w:cs="仿宋_GB2312"/>
          <w:color w:val="000000" w:themeColor="text1"/>
          <w:sz w:val="28"/>
          <w:szCs w:val="28"/>
          <w14:textFill>
            <w14:solidFill>
              <w14:schemeClr w14:val="tx1"/>
            </w14:solidFill>
          </w14:textFill>
        </w:rPr>
        <w:t>学分；专业技能必修课程</w:t>
      </w:r>
      <w:r>
        <w:rPr>
          <w:rFonts w:ascii="仿宋_GB2312" w:hAnsi="仿宋_GB2312" w:eastAsia="仿宋_GB2312" w:cs="仿宋_GB2312"/>
          <w:color w:val="000000" w:themeColor="text1"/>
          <w:sz w:val="28"/>
          <w:szCs w:val="28"/>
          <w14:textFill>
            <w14:solidFill>
              <w14:schemeClr w14:val="tx1"/>
            </w14:solidFill>
          </w14:textFill>
        </w:rPr>
        <w:t>1900</w:t>
      </w:r>
      <w:r>
        <w:rPr>
          <w:rFonts w:hint="eastAsia" w:ascii="仿宋_GB2312" w:hAnsi="仿宋_GB2312" w:eastAsia="仿宋_GB2312" w:cs="仿宋_GB2312"/>
          <w:color w:val="000000" w:themeColor="text1"/>
          <w:sz w:val="28"/>
          <w:szCs w:val="28"/>
          <w14:textFill>
            <w14:solidFill>
              <w14:schemeClr w14:val="tx1"/>
            </w14:solidFill>
          </w14:textFill>
        </w:rPr>
        <w:t>学时、</w:t>
      </w:r>
      <w:r>
        <w:rPr>
          <w:rFonts w:ascii="仿宋_GB2312" w:hAnsi="仿宋_GB2312" w:eastAsia="仿宋_GB2312" w:cs="仿宋_GB2312"/>
          <w:color w:val="000000" w:themeColor="text1"/>
          <w:sz w:val="28"/>
          <w:szCs w:val="28"/>
          <w14:textFill>
            <w14:solidFill>
              <w14:schemeClr w14:val="tx1"/>
            </w14:solidFill>
          </w14:textFill>
        </w:rPr>
        <w:t>96</w:t>
      </w:r>
      <w:r>
        <w:rPr>
          <w:rFonts w:hint="eastAsia" w:ascii="仿宋_GB2312" w:hAnsi="仿宋_GB2312" w:eastAsia="仿宋_GB2312" w:cs="仿宋_GB2312"/>
          <w:color w:val="000000" w:themeColor="text1"/>
          <w:sz w:val="28"/>
          <w:szCs w:val="28"/>
          <w14:textFill>
            <w14:solidFill>
              <w14:schemeClr w14:val="tx1"/>
            </w14:solidFill>
          </w14:textFill>
        </w:rPr>
        <w:t>学分；公共基础选修课程</w:t>
      </w:r>
      <w:r>
        <w:rPr>
          <w:rFonts w:ascii="仿宋_GB2312" w:hAnsi="仿宋_GB2312" w:eastAsia="仿宋_GB2312" w:cs="仿宋_GB2312"/>
          <w:color w:val="000000" w:themeColor="text1"/>
          <w:sz w:val="28"/>
          <w:szCs w:val="28"/>
          <w14:textFill>
            <w14:solidFill>
              <w14:schemeClr w14:val="tx1"/>
            </w14:solidFill>
          </w14:textFill>
        </w:rPr>
        <w:t>96</w:t>
      </w:r>
      <w:r>
        <w:rPr>
          <w:rFonts w:hint="eastAsia" w:ascii="仿宋_GB2312" w:hAnsi="仿宋_GB2312" w:eastAsia="仿宋_GB2312" w:cs="仿宋_GB2312"/>
          <w:color w:val="000000" w:themeColor="text1"/>
          <w:sz w:val="28"/>
          <w:szCs w:val="28"/>
          <w14:textFill>
            <w14:solidFill>
              <w14:schemeClr w14:val="tx1"/>
            </w14:solidFill>
          </w14:textFill>
        </w:rPr>
        <w:t>课时、</w:t>
      </w:r>
      <w:r>
        <w:rPr>
          <w:rFonts w:ascii="仿宋_GB2312" w:hAnsi="仿宋_GB2312" w:eastAsia="仿宋_GB2312" w:cs="仿宋_GB2312"/>
          <w:color w:val="000000" w:themeColor="text1"/>
          <w:sz w:val="28"/>
          <w:szCs w:val="28"/>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学分；专业技能选修课程</w:t>
      </w:r>
      <w:r>
        <w:rPr>
          <w:rFonts w:ascii="仿宋_GB2312" w:hAnsi="仿宋_GB2312" w:eastAsia="仿宋_GB2312" w:cs="仿宋_GB2312"/>
          <w:color w:val="000000" w:themeColor="text1"/>
          <w:sz w:val="28"/>
          <w:szCs w:val="28"/>
          <w14:textFill>
            <w14:solidFill>
              <w14:schemeClr w14:val="tx1"/>
            </w14:solidFill>
          </w14:textFill>
        </w:rPr>
        <w:t>224</w:t>
      </w:r>
      <w:r>
        <w:rPr>
          <w:rFonts w:hint="eastAsia" w:ascii="仿宋_GB2312" w:hAnsi="仿宋_GB2312" w:eastAsia="仿宋_GB2312" w:cs="仿宋_GB2312"/>
          <w:color w:val="000000" w:themeColor="text1"/>
          <w:sz w:val="28"/>
          <w:szCs w:val="28"/>
          <w14:textFill>
            <w14:solidFill>
              <w14:schemeClr w14:val="tx1"/>
            </w14:solidFill>
          </w14:textFill>
        </w:rPr>
        <w:t>课时、</w:t>
      </w:r>
      <w:r>
        <w:rPr>
          <w:rFonts w:ascii="仿宋_GB2312" w:hAnsi="仿宋_GB2312" w:eastAsia="仿宋_GB2312" w:cs="仿宋_GB2312"/>
          <w:color w:val="000000" w:themeColor="text1"/>
          <w:sz w:val="28"/>
          <w:szCs w:val="28"/>
          <w14:textFill>
            <w14:solidFill>
              <w14:schemeClr w14:val="tx1"/>
            </w14:solidFill>
          </w14:textFill>
        </w:rPr>
        <w:t>14</w:t>
      </w:r>
      <w:r>
        <w:rPr>
          <w:rFonts w:hint="eastAsia" w:ascii="仿宋_GB2312" w:hAnsi="仿宋_GB2312" w:eastAsia="仿宋_GB2312" w:cs="仿宋_GB2312"/>
          <w:color w:val="000000" w:themeColor="text1"/>
          <w:sz w:val="28"/>
          <w:szCs w:val="28"/>
          <w14:textFill>
            <w14:solidFill>
              <w14:schemeClr w14:val="tx1"/>
            </w14:solidFill>
          </w14:textFill>
        </w:rPr>
        <w:t>学分。</w:t>
      </w:r>
      <w:bookmarkEnd w:id="50"/>
    </w:p>
    <w:p>
      <w:pPr>
        <w:snapToGrid w:val="0"/>
        <w:contextualSpacing/>
        <w:rPr>
          <w:rFonts w:asciiTheme="minorEastAsia" w:hAnsiTheme="minorEastAsia" w:cstheme="minorEastAsia"/>
          <w:color w:val="000000" w:themeColor="text1"/>
          <w:szCs w:val="21"/>
          <w14:textFill>
            <w14:solidFill>
              <w14:schemeClr w14:val="tx1"/>
            </w14:solidFill>
          </w14:textFill>
        </w:rPr>
      </w:pPr>
    </w:p>
    <w:sectPr>
      <w:headerReference r:id="rId7" w:type="default"/>
      <w:footerReference r:id="rId8" w:type="default"/>
      <w:pgSz w:w="11906" w:h="16838"/>
      <w:pgMar w:top="993" w:right="1418" w:bottom="1134" w:left="1133" w:header="737" w:footer="595"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Wingdings 3">
    <w:panose1 w:val="05040102010807070707"/>
    <w:charset w:val="02"/>
    <w:family w:val="roman"/>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UI Variable Text">
    <w:panose1 w:val="00000000000000000000"/>
    <w:charset w:val="00"/>
    <w:family w:val="auto"/>
    <w:pitch w:val="default"/>
    <w:sig w:usb0="A00002FF" w:usb1="0000000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20"/>
      <w:jc w:val="center"/>
    </w:pPr>
  </w:p>
  <w:p>
    <w:pPr>
      <w:pStyle w:val="15"/>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20"/>
      <w:jc w:val="cente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15"/>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5700"/>
        <w:tab w:val="right" w:pos="14690"/>
      </w:tabs>
      <w:ind w:firstLine="42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5"/>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 </w:t>
                          </w:r>
                          <w:r>
                            <w:fldChar w:fldCharType="begin"/>
                          </w:r>
                          <w:r>
                            <w:instrText xml:space="preserve"> PAGE  \* MERGEFORMAT </w:instrText>
                          </w:r>
                          <w:r>
                            <w:fldChar w:fldCharType="separate"/>
                          </w:r>
                          <w:r>
                            <w:t>31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5"/>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p>
    <w:pPr>
      <w:pStyle w:val="15"/>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r>
      <mc:AlternateContent>
        <mc:Choice Requires="wps">
          <w:drawing>
            <wp:anchor distT="0" distB="0" distL="114300" distR="114300" simplePos="0" relativeHeight="251660288" behindDoc="0" locked="0" layoutInCell="0" allowOverlap="1">
              <wp:simplePos x="0" y="0"/>
              <wp:positionH relativeFrom="page">
                <wp:posOffset>-20955</wp:posOffset>
              </wp:positionH>
              <wp:positionV relativeFrom="page">
                <wp:posOffset>3332480</wp:posOffset>
              </wp:positionV>
              <wp:extent cx="762000" cy="895350"/>
              <wp:effectExtent l="0" t="0" r="0" b="0"/>
              <wp:wrapNone/>
              <wp:docPr id="7" name="矩形 3"/>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pPr>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w:t>
                          </w:r>
                          <w:r>
                            <w:rPr>
                              <w:sz w:val="18"/>
                              <w:szCs w:val="18"/>
                            </w:rPr>
                            <w:t xml:space="preserve"> 24 -</w:t>
                          </w:r>
                          <w:r>
                            <w:rPr>
                              <w:sz w:val="18"/>
                              <w:szCs w:val="18"/>
                            </w:rPr>
                            <w:fldChar w:fldCharType="end"/>
                          </w:r>
                        </w:p>
                      </w:txbxContent>
                    </wps:txbx>
                    <wps:bodyPr rot="0" vert="eaVert" wrap="square" lIns="91440" tIns="45720" rIns="91440" bIns="45720" anchor="t" anchorCtr="0" upright="1">
                      <a:noAutofit/>
                    </wps:bodyPr>
                  </wps:wsp>
                </a:graphicData>
              </a:graphic>
            </wp:anchor>
          </w:drawing>
        </mc:Choice>
        <mc:Fallback>
          <w:pict>
            <v:rect id="矩形 3" o:spid="_x0000_s1026" o:spt="1" style="position:absolute;left:0pt;margin-left:-1.65pt;margin-top:262.4pt;height:70.5pt;width:60pt;mso-position-horizontal-relative:page;mso-position-vertical-relative:page;z-index:251660288;mso-width-relative:page;mso-height-relative:page;" fillcolor="#FFFFFF" filled="t" stroked="f" coordsize="21600,21600" o:allowincell="f" o:gfxdata="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XQ4UNsAAAAKAQAADwAAAAAAAAABACAAAAAiAAAAZHJzL2Rvd25yZXYueG1sUEsBAhQAFAAAAAgA&#10;h07iQNa6jA4iAgAAMgQAAA4AAAAAAAAAAQAgAAAAKgEAAGRycy9lMm9Eb2MueG1sUEsFBgAAAAAG&#10;AAYAWQEAAL4FAAAAAA==&#10;">
              <v:fill on="t" focussize="0,0"/>
              <v:stroke on="f"/>
              <v:imagedata o:title=""/>
              <o:lock v:ext="edit" aspectratio="f"/>
              <v:textbox style="layout-flow:vertical-ideographic;">
                <w:txbxContent>
                  <w:p>
                    <w:pPr>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w:t>
                    </w:r>
                    <w:r>
                      <w:rPr>
                        <w:sz w:val="18"/>
                        <w:szCs w:val="18"/>
                      </w:rPr>
                      <w:t xml:space="preserve"> 24 -</w:t>
                    </w:r>
                    <w:r>
                      <w:rPr>
                        <w:sz w:val="18"/>
                        <w:szCs w:val="18"/>
                      </w:rPr>
                      <w:fldChar w:fldCharType="end"/>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chineseCounting"/>
      <w:pStyle w:val="102"/>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3YzYwMDJlMWRkMzQwZDVmMzc4YjlmYmU3OTU3ZDIifQ=="/>
  </w:docVars>
  <w:rsids>
    <w:rsidRoot w:val="00396F2A"/>
    <w:rsid w:val="000055FF"/>
    <w:rsid w:val="00005AAF"/>
    <w:rsid w:val="0000661F"/>
    <w:rsid w:val="000078D9"/>
    <w:rsid w:val="000309FB"/>
    <w:rsid w:val="00047480"/>
    <w:rsid w:val="00047A66"/>
    <w:rsid w:val="0007792E"/>
    <w:rsid w:val="00077B18"/>
    <w:rsid w:val="000A0F3F"/>
    <w:rsid w:val="000C5D36"/>
    <w:rsid w:val="000D0EDF"/>
    <w:rsid w:val="000D3DE9"/>
    <w:rsid w:val="000F542C"/>
    <w:rsid w:val="000F72E7"/>
    <w:rsid w:val="00107425"/>
    <w:rsid w:val="001117A8"/>
    <w:rsid w:val="0011201C"/>
    <w:rsid w:val="00113D7F"/>
    <w:rsid w:val="001256E3"/>
    <w:rsid w:val="001401B7"/>
    <w:rsid w:val="00180227"/>
    <w:rsid w:val="001802F6"/>
    <w:rsid w:val="001B15A9"/>
    <w:rsid w:val="001B5263"/>
    <w:rsid w:val="001D54D3"/>
    <w:rsid w:val="001F5D4C"/>
    <w:rsid w:val="002075F3"/>
    <w:rsid w:val="002078A9"/>
    <w:rsid w:val="00214E4A"/>
    <w:rsid w:val="00216FF8"/>
    <w:rsid w:val="00221FB9"/>
    <w:rsid w:val="00223AFB"/>
    <w:rsid w:val="0022406A"/>
    <w:rsid w:val="00230505"/>
    <w:rsid w:val="0025164C"/>
    <w:rsid w:val="0025752D"/>
    <w:rsid w:val="0027150D"/>
    <w:rsid w:val="002917AC"/>
    <w:rsid w:val="002A5AA4"/>
    <w:rsid w:val="002B4721"/>
    <w:rsid w:val="002B482E"/>
    <w:rsid w:val="002B5902"/>
    <w:rsid w:val="002D595A"/>
    <w:rsid w:val="002E4C3C"/>
    <w:rsid w:val="002E4F69"/>
    <w:rsid w:val="002F19CB"/>
    <w:rsid w:val="002F71E0"/>
    <w:rsid w:val="003073AE"/>
    <w:rsid w:val="0032212B"/>
    <w:rsid w:val="00326C99"/>
    <w:rsid w:val="00327A34"/>
    <w:rsid w:val="00345116"/>
    <w:rsid w:val="00351689"/>
    <w:rsid w:val="00370C95"/>
    <w:rsid w:val="00371A6C"/>
    <w:rsid w:val="00382F59"/>
    <w:rsid w:val="00383DAA"/>
    <w:rsid w:val="00384377"/>
    <w:rsid w:val="003875DF"/>
    <w:rsid w:val="00387718"/>
    <w:rsid w:val="00391215"/>
    <w:rsid w:val="00396385"/>
    <w:rsid w:val="00396F2A"/>
    <w:rsid w:val="003B02E8"/>
    <w:rsid w:val="003B487F"/>
    <w:rsid w:val="003C7B60"/>
    <w:rsid w:val="003D31EF"/>
    <w:rsid w:val="003E21F2"/>
    <w:rsid w:val="003E6E1E"/>
    <w:rsid w:val="00401558"/>
    <w:rsid w:val="00402400"/>
    <w:rsid w:val="004223C6"/>
    <w:rsid w:val="004237A3"/>
    <w:rsid w:val="00450884"/>
    <w:rsid w:val="004523A5"/>
    <w:rsid w:val="00452B60"/>
    <w:rsid w:val="00461065"/>
    <w:rsid w:val="0046530D"/>
    <w:rsid w:val="00477537"/>
    <w:rsid w:val="00477EF0"/>
    <w:rsid w:val="004A338A"/>
    <w:rsid w:val="004A4849"/>
    <w:rsid w:val="004C0546"/>
    <w:rsid w:val="004E541C"/>
    <w:rsid w:val="004E6C6B"/>
    <w:rsid w:val="004F3CDA"/>
    <w:rsid w:val="005005FF"/>
    <w:rsid w:val="00502B79"/>
    <w:rsid w:val="0051119A"/>
    <w:rsid w:val="00513EED"/>
    <w:rsid w:val="00530CB6"/>
    <w:rsid w:val="00531F9B"/>
    <w:rsid w:val="005409C2"/>
    <w:rsid w:val="00541959"/>
    <w:rsid w:val="00553A10"/>
    <w:rsid w:val="005639F1"/>
    <w:rsid w:val="005703D9"/>
    <w:rsid w:val="005778B9"/>
    <w:rsid w:val="005B0C12"/>
    <w:rsid w:val="005C7255"/>
    <w:rsid w:val="005D7AD6"/>
    <w:rsid w:val="005F1FEA"/>
    <w:rsid w:val="006138A7"/>
    <w:rsid w:val="006379ED"/>
    <w:rsid w:val="00665E82"/>
    <w:rsid w:val="006816CD"/>
    <w:rsid w:val="00687BF5"/>
    <w:rsid w:val="006A7A69"/>
    <w:rsid w:val="006F3596"/>
    <w:rsid w:val="006F526C"/>
    <w:rsid w:val="006F7CC9"/>
    <w:rsid w:val="0070401C"/>
    <w:rsid w:val="00714EB3"/>
    <w:rsid w:val="00717C20"/>
    <w:rsid w:val="00735164"/>
    <w:rsid w:val="00740C94"/>
    <w:rsid w:val="00752BAA"/>
    <w:rsid w:val="00756351"/>
    <w:rsid w:val="00782DF5"/>
    <w:rsid w:val="00783029"/>
    <w:rsid w:val="007A227B"/>
    <w:rsid w:val="007A6498"/>
    <w:rsid w:val="007B0929"/>
    <w:rsid w:val="007B1E2F"/>
    <w:rsid w:val="007C43B5"/>
    <w:rsid w:val="007C45A5"/>
    <w:rsid w:val="007D2883"/>
    <w:rsid w:val="007E1B22"/>
    <w:rsid w:val="007E2EF7"/>
    <w:rsid w:val="007E6C39"/>
    <w:rsid w:val="0080172C"/>
    <w:rsid w:val="00812401"/>
    <w:rsid w:val="00815D72"/>
    <w:rsid w:val="00823AC8"/>
    <w:rsid w:val="00846678"/>
    <w:rsid w:val="008726FA"/>
    <w:rsid w:val="008737A6"/>
    <w:rsid w:val="008824FE"/>
    <w:rsid w:val="008865D4"/>
    <w:rsid w:val="008B5A1C"/>
    <w:rsid w:val="008E1450"/>
    <w:rsid w:val="009250AB"/>
    <w:rsid w:val="00930514"/>
    <w:rsid w:val="00932207"/>
    <w:rsid w:val="00933A1A"/>
    <w:rsid w:val="0093725C"/>
    <w:rsid w:val="009372EF"/>
    <w:rsid w:val="00940FEF"/>
    <w:rsid w:val="00943B14"/>
    <w:rsid w:val="009478A5"/>
    <w:rsid w:val="00950BD0"/>
    <w:rsid w:val="009519C6"/>
    <w:rsid w:val="009621CD"/>
    <w:rsid w:val="00967F30"/>
    <w:rsid w:val="00971BEF"/>
    <w:rsid w:val="00973685"/>
    <w:rsid w:val="00975B0E"/>
    <w:rsid w:val="00990FB7"/>
    <w:rsid w:val="00991589"/>
    <w:rsid w:val="009A7C34"/>
    <w:rsid w:val="009A7C9A"/>
    <w:rsid w:val="009B4EF4"/>
    <w:rsid w:val="009B69FE"/>
    <w:rsid w:val="009D29A3"/>
    <w:rsid w:val="009F1186"/>
    <w:rsid w:val="009F73A9"/>
    <w:rsid w:val="00A00F40"/>
    <w:rsid w:val="00A05CC9"/>
    <w:rsid w:val="00A06E1A"/>
    <w:rsid w:val="00A07635"/>
    <w:rsid w:val="00A10FC7"/>
    <w:rsid w:val="00A13A41"/>
    <w:rsid w:val="00A1716A"/>
    <w:rsid w:val="00A20F9F"/>
    <w:rsid w:val="00A210CF"/>
    <w:rsid w:val="00A22DD1"/>
    <w:rsid w:val="00A25422"/>
    <w:rsid w:val="00A25503"/>
    <w:rsid w:val="00A25B2D"/>
    <w:rsid w:val="00A35578"/>
    <w:rsid w:val="00A36682"/>
    <w:rsid w:val="00A470D9"/>
    <w:rsid w:val="00A6493A"/>
    <w:rsid w:val="00A65546"/>
    <w:rsid w:val="00A66661"/>
    <w:rsid w:val="00A97FEA"/>
    <w:rsid w:val="00AC1281"/>
    <w:rsid w:val="00AD7A67"/>
    <w:rsid w:val="00AE5234"/>
    <w:rsid w:val="00AE58DD"/>
    <w:rsid w:val="00AF1D8A"/>
    <w:rsid w:val="00AF6C25"/>
    <w:rsid w:val="00B36497"/>
    <w:rsid w:val="00B50CD6"/>
    <w:rsid w:val="00B52B9D"/>
    <w:rsid w:val="00B55E8B"/>
    <w:rsid w:val="00B64ED4"/>
    <w:rsid w:val="00B7238C"/>
    <w:rsid w:val="00B96017"/>
    <w:rsid w:val="00BD71D3"/>
    <w:rsid w:val="00BE0533"/>
    <w:rsid w:val="00BE0D51"/>
    <w:rsid w:val="00BE188E"/>
    <w:rsid w:val="00BF2386"/>
    <w:rsid w:val="00BF3AAE"/>
    <w:rsid w:val="00BF52BD"/>
    <w:rsid w:val="00BF7A87"/>
    <w:rsid w:val="00C00125"/>
    <w:rsid w:val="00C01DB6"/>
    <w:rsid w:val="00C20334"/>
    <w:rsid w:val="00C22AD3"/>
    <w:rsid w:val="00C231B5"/>
    <w:rsid w:val="00C267DE"/>
    <w:rsid w:val="00C56A02"/>
    <w:rsid w:val="00C603FA"/>
    <w:rsid w:val="00C71339"/>
    <w:rsid w:val="00C72132"/>
    <w:rsid w:val="00C73DC7"/>
    <w:rsid w:val="00C77E5C"/>
    <w:rsid w:val="00C92ED0"/>
    <w:rsid w:val="00CA79EC"/>
    <w:rsid w:val="00CC0072"/>
    <w:rsid w:val="00CD02C0"/>
    <w:rsid w:val="00CD1DD1"/>
    <w:rsid w:val="00CE48B5"/>
    <w:rsid w:val="00CE51E8"/>
    <w:rsid w:val="00CE62B0"/>
    <w:rsid w:val="00CE636E"/>
    <w:rsid w:val="00D0170E"/>
    <w:rsid w:val="00D16CDF"/>
    <w:rsid w:val="00D36E21"/>
    <w:rsid w:val="00D50ED3"/>
    <w:rsid w:val="00D52022"/>
    <w:rsid w:val="00D614BC"/>
    <w:rsid w:val="00D63058"/>
    <w:rsid w:val="00D70072"/>
    <w:rsid w:val="00D70AE3"/>
    <w:rsid w:val="00D77F43"/>
    <w:rsid w:val="00D97E58"/>
    <w:rsid w:val="00DA1F42"/>
    <w:rsid w:val="00DD39A4"/>
    <w:rsid w:val="00DD463C"/>
    <w:rsid w:val="00DF0684"/>
    <w:rsid w:val="00E35BFA"/>
    <w:rsid w:val="00E62BA3"/>
    <w:rsid w:val="00E76834"/>
    <w:rsid w:val="00E80B5F"/>
    <w:rsid w:val="00E83E0D"/>
    <w:rsid w:val="00E8761E"/>
    <w:rsid w:val="00E87C42"/>
    <w:rsid w:val="00E9288A"/>
    <w:rsid w:val="00E9362E"/>
    <w:rsid w:val="00E93794"/>
    <w:rsid w:val="00EA37BD"/>
    <w:rsid w:val="00EB5602"/>
    <w:rsid w:val="00EC5412"/>
    <w:rsid w:val="00EC7C27"/>
    <w:rsid w:val="00EF079A"/>
    <w:rsid w:val="00EF6A5E"/>
    <w:rsid w:val="00F113BF"/>
    <w:rsid w:val="00F15335"/>
    <w:rsid w:val="00F22480"/>
    <w:rsid w:val="00F24A99"/>
    <w:rsid w:val="00F508BE"/>
    <w:rsid w:val="00F66166"/>
    <w:rsid w:val="00F804B3"/>
    <w:rsid w:val="00F86244"/>
    <w:rsid w:val="00F8642C"/>
    <w:rsid w:val="00F9056A"/>
    <w:rsid w:val="00FA0F59"/>
    <w:rsid w:val="00FB28E8"/>
    <w:rsid w:val="00FF4D4A"/>
    <w:rsid w:val="00FF66E9"/>
    <w:rsid w:val="01142B87"/>
    <w:rsid w:val="01145609"/>
    <w:rsid w:val="01314F6C"/>
    <w:rsid w:val="013D290D"/>
    <w:rsid w:val="018C519F"/>
    <w:rsid w:val="01AF5332"/>
    <w:rsid w:val="01C02296"/>
    <w:rsid w:val="01E054EB"/>
    <w:rsid w:val="0261487E"/>
    <w:rsid w:val="0297204E"/>
    <w:rsid w:val="02996215"/>
    <w:rsid w:val="03140887"/>
    <w:rsid w:val="03152B33"/>
    <w:rsid w:val="03644AF7"/>
    <w:rsid w:val="0376282A"/>
    <w:rsid w:val="037A3A25"/>
    <w:rsid w:val="038E7705"/>
    <w:rsid w:val="03B6737C"/>
    <w:rsid w:val="03C5736E"/>
    <w:rsid w:val="03CC3F79"/>
    <w:rsid w:val="04175528"/>
    <w:rsid w:val="04C12814"/>
    <w:rsid w:val="04D171D5"/>
    <w:rsid w:val="050A4C6D"/>
    <w:rsid w:val="055A235A"/>
    <w:rsid w:val="055A4D0C"/>
    <w:rsid w:val="056326BB"/>
    <w:rsid w:val="05926AFC"/>
    <w:rsid w:val="059646F9"/>
    <w:rsid w:val="05D71955"/>
    <w:rsid w:val="06212BB5"/>
    <w:rsid w:val="068E240A"/>
    <w:rsid w:val="07152133"/>
    <w:rsid w:val="07391925"/>
    <w:rsid w:val="074A0151"/>
    <w:rsid w:val="074A3B33"/>
    <w:rsid w:val="0750785B"/>
    <w:rsid w:val="07723036"/>
    <w:rsid w:val="078510E1"/>
    <w:rsid w:val="07D5020F"/>
    <w:rsid w:val="07FF1FB2"/>
    <w:rsid w:val="085D3204"/>
    <w:rsid w:val="08713341"/>
    <w:rsid w:val="08915791"/>
    <w:rsid w:val="08946E4C"/>
    <w:rsid w:val="08BB1CE8"/>
    <w:rsid w:val="08BC7CBE"/>
    <w:rsid w:val="08BF22FE"/>
    <w:rsid w:val="08C47915"/>
    <w:rsid w:val="08CA47FF"/>
    <w:rsid w:val="09524F20"/>
    <w:rsid w:val="09AA6B0A"/>
    <w:rsid w:val="0A273CA8"/>
    <w:rsid w:val="0A3801F0"/>
    <w:rsid w:val="0A4E393A"/>
    <w:rsid w:val="0A811784"/>
    <w:rsid w:val="0ABD461B"/>
    <w:rsid w:val="0AC54D5A"/>
    <w:rsid w:val="0B9F6E63"/>
    <w:rsid w:val="0BE300B2"/>
    <w:rsid w:val="0BE57949"/>
    <w:rsid w:val="0BED3157"/>
    <w:rsid w:val="0C78463A"/>
    <w:rsid w:val="0CAC0DEC"/>
    <w:rsid w:val="0D4D15B7"/>
    <w:rsid w:val="0D52150D"/>
    <w:rsid w:val="0D8C2DBD"/>
    <w:rsid w:val="0DF21794"/>
    <w:rsid w:val="0E914E7A"/>
    <w:rsid w:val="0F855734"/>
    <w:rsid w:val="0F8B2F3A"/>
    <w:rsid w:val="102173FB"/>
    <w:rsid w:val="10494BC2"/>
    <w:rsid w:val="105E41AB"/>
    <w:rsid w:val="108828DF"/>
    <w:rsid w:val="10BF7A67"/>
    <w:rsid w:val="11203B56"/>
    <w:rsid w:val="1150529B"/>
    <w:rsid w:val="116C6248"/>
    <w:rsid w:val="119D53EB"/>
    <w:rsid w:val="11AC25BB"/>
    <w:rsid w:val="11C36097"/>
    <w:rsid w:val="11DA48AE"/>
    <w:rsid w:val="11FA76C0"/>
    <w:rsid w:val="12693A8D"/>
    <w:rsid w:val="12AF6F40"/>
    <w:rsid w:val="13315BA7"/>
    <w:rsid w:val="133A5BF2"/>
    <w:rsid w:val="136A10B9"/>
    <w:rsid w:val="13BD577E"/>
    <w:rsid w:val="13D1738A"/>
    <w:rsid w:val="13D50719"/>
    <w:rsid w:val="13FA42C2"/>
    <w:rsid w:val="14060EC2"/>
    <w:rsid w:val="140D1657"/>
    <w:rsid w:val="14515DD5"/>
    <w:rsid w:val="14551D69"/>
    <w:rsid w:val="148D2C4E"/>
    <w:rsid w:val="14B4485D"/>
    <w:rsid w:val="14B84BC3"/>
    <w:rsid w:val="14C36CD2"/>
    <w:rsid w:val="14C67E42"/>
    <w:rsid w:val="14F82D7F"/>
    <w:rsid w:val="153932B8"/>
    <w:rsid w:val="15453AD6"/>
    <w:rsid w:val="155D28A9"/>
    <w:rsid w:val="158C6F70"/>
    <w:rsid w:val="159B558D"/>
    <w:rsid w:val="15A72150"/>
    <w:rsid w:val="15D805CA"/>
    <w:rsid w:val="164A3E7E"/>
    <w:rsid w:val="169311EC"/>
    <w:rsid w:val="16A62408"/>
    <w:rsid w:val="16C21F84"/>
    <w:rsid w:val="16CB1E6E"/>
    <w:rsid w:val="16FF5B47"/>
    <w:rsid w:val="171C3891"/>
    <w:rsid w:val="176022CD"/>
    <w:rsid w:val="177B7D38"/>
    <w:rsid w:val="17996410"/>
    <w:rsid w:val="180F222F"/>
    <w:rsid w:val="18275FAD"/>
    <w:rsid w:val="182C3E06"/>
    <w:rsid w:val="186315A6"/>
    <w:rsid w:val="188F5243"/>
    <w:rsid w:val="18B41207"/>
    <w:rsid w:val="18C748B7"/>
    <w:rsid w:val="18F7519C"/>
    <w:rsid w:val="193B4980"/>
    <w:rsid w:val="194303E2"/>
    <w:rsid w:val="19481E9C"/>
    <w:rsid w:val="197131A1"/>
    <w:rsid w:val="197532B5"/>
    <w:rsid w:val="1A411258"/>
    <w:rsid w:val="1A417996"/>
    <w:rsid w:val="1A7B1DFD"/>
    <w:rsid w:val="1A831339"/>
    <w:rsid w:val="1AB71087"/>
    <w:rsid w:val="1ABA0B77"/>
    <w:rsid w:val="1AC87521"/>
    <w:rsid w:val="1ADA154E"/>
    <w:rsid w:val="1AF57C12"/>
    <w:rsid w:val="1B4B17D0"/>
    <w:rsid w:val="1B6823A3"/>
    <w:rsid w:val="1B7900EB"/>
    <w:rsid w:val="1B943177"/>
    <w:rsid w:val="1BC163E6"/>
    <w:rsid w:val="1C4050AC"/>
    <w:rsid w:val="1CB17D58"/>
    <w:rsid w:val="1CBA56B7"/>
    <w:rsid w:val="1CC42ADC"/>
    <w:rsid w:val="1CC7495F"/>
    <w:rsid w:val="1CF21E8B"/>
    <w:rsid w:val="1D232A04"/>
    <w:rsid w:val="1D88524C"/>
    <w:rsid w:val="1DA13929"/>
    <w:rsid w:val="1DAF149F"/>
    <w:rsid w:val="1DB47B00"/>
    <w:rsid w:val="1DE875D6"/>
    <w:rsid w:val="1E122FDE"/>
    <w:rsid w:val="1E2527AC"/>
    <w:rsid w:val="1E2F500A"/>
    <w:rsid w:val="1E8219AC"/>
    <w:rsid w:val="1EF1268E"/>
    <w:rsid w:val="1F175566"/>
    <w:rsid w:val="1F207391"/>
    <w:rsid w:val="1F262635"/>
    <w:rsid w:val="1F8452B0"/>
    <w:rsid w:val="1FCE483F"/>
    <w:rsid w:val="20052895"/>
    <w:rsid w:val="200F66CF"/>
    <w:rsid w:val="205E6666"/>
    <w:rsid w:val="206D40FA"/>
    <w:rsid w:val="212D4530"/>
    <w:rsid w:val="21815F4B"/>
    <w:rsid w:val="21836641"/>
    <w:rsid w:val="21B93937"/>
    <w:rsid w:val="21C85928"/>
    <w:rsid w:val="21D057D0"/>
    <w:rsid w:val="224A458F"/>
    <w:rsid w:val="22902202"/>
    <w:rsid w:val="22937812"/>
    <w:rsid w:val="22A068A5"/>
    <w:rsid w:val="22B0753C"/>
    <w:rsid w:val="230C6782"/>
    <w:rsid w:val="232A616E"/>
    <w:rsid w:val="233A2855"/>
    <w:rsid w:val="24207C9D"/>
    <w:rsid w:val="24661428"/>
    <w:rsid w:val="248D4C07"/>
    <w:rsid w:val="24B623B0"/>
    <w:rsid w:val="24BB79C6"/>
    <w:rsid w:val="24EC5DD1"/>
    <w:rsid w:val="252437BD"/>
    <w:rsid w:val="253B62B2"/>
    <w:rsid w:val="256D7AD2"/>
    <w:rsid w:val="264176AC"/>
    <w:rsid w:val="266C38AB"/>
    <w:rsid w:val="266C3BC0"/>
    <w:rsid w:val="266D2F42"/>
    <w:rsid w:val="26AC5120"/>
    <w:rsid w:val="27C44366"/>
    <w:rsid w:val="27D843EB"/>
    <w:rsid w:val="27E601B9"/>
    <w:rsid w:val="284301C5"/>
    <w:rsid w:val="285C6DCA"/>
    <w:rsid w:val="28862099"/>
    <w:rsid w:val="28FF2112"/>
    <w:rsid w:val="29485A17"/>
    <w:rsid w:val="296557C6"/>
    <w:rsid w:val="2A227306"/>
    <w:rsid w:val="2A6C52BE"/>
    <w:rsid w:val="2A8757EE"/>
    <w:rsid w:val="2ABC1DA2"/>
    <w:rsid w:val="2B1B11BE"/>
    <w:rsid w:val="2B400C25"/>
    <w:rsid w:val="2B6C5576"/>
    <w:rsid w:val="2B7C0D1D"/>
    <w:rsid w:val="2B8A1EA0"/>
    <w:rsid w:val="2BBD673E"/>
    <w:rsid w:val="2BC929C8"/>
    <w:rsid w:val="2BDA5853"/>
    <w:rsid w:val="2C534988"/>
    <w:rsid w:val="2C574478"/>
    <w:rsid w:val="2C637441"/>
    <w:rsid w:val="2C6D5A4A"/>
    <w:rsid w:val="2C864D5D"/>
    <w:rsid w:val="2C8E556C"/>
    <w:rsid w:val="2D7743BB"/>
    <w:rsid w:val="2DA52FC1"/>
    <w:rsid w:val="2DDB69E3"/>
    <w:rsid w:val="2DE53D06"/>
    <w:rsid w:val="2DF14458"/>
    <w:rsid w:val="2E4D6B60"/>
    <w:rsid w:val="2EDA6C9B"/>
    <w:rsid w:val="2F05640D"/>
    <w:rsid w:val="2F1228D8"/>
    <w:rsid w:val="2F300FB0"/>
    <w:rsid w:val="2F34568E"/>
    <w:rsid w:val="2F6963FB"/>
    <w:rsid w:val="2F745341"/>
    <w:rsid w:val="2F860BD0"/>
    <w:rsid w:val="2FA6707B"/>
    <w:rsid w:val="2FEB6F66"/>
    <w:rsid w:val="301420D8"/>
    <w:rsid w:val="301958D7"/>
    <w:rsid w:val="30423A40"/>
    <w:rsid w:val="304A7E50"/>
    <w:rsid w:val="306929CC"/>
    <w:rsid w:val="30DF7D26"/>
    <w:rsid w:val="310F3573"/>
    <w:rsid w:val="31201925"/>
    <w:rsid w:val="31264CF7"/>
    <w:rsid w:val="312D57A8"/>
    <w:rsid w:val="31505C80"/>
    <w:rsid w:val="318C7A50"/>
    <w:rsid w:val="31B00187"/>
    <w:rsid w:val="31CA5792"/>
    <w:rsid w:val="31D52C3A"/>
    <w:rsid w:val="31EA3699"/>
    <w:rsid w:val="32136EC8"/>
    <w:rsid w:val="32280B4C"/>
    <w:rsid w:val="32355DA7"/>
    <w:rsid w:val="32546D64"/>
    <w:rsid w:val="32650697"/>
    <w:rsid w:val="326A5758"/>
    <w:rsid w:val="32760C2A"/>
    <w:rsid w:val="3281224F"/>
    <w:rsid w:val="333D75D3"/>
    <w:rsid w:val="333D7EF8"/>
    <w:rsid w:val="336B6EE3"/>
    <w:rsid w:val="33A361F5"/>
    <w:rsid w:val="33A73607"/>
    <w:rsid w:val="33D12D62"/>
    <w:rsid w:val="33E87093"/>
    <w:rsid w:val="34064BC6"/>
    <w:rsid w:val="34251A3C"/>
    <w:rsid w:val="34AC3E2A"/>
    <w:rsid w:val="34BE74D4"/>
    <w:rsid w:val="352C3774"/>
    <w:rsid w:val="3542530C"/>
    <w:rsid w:val="356E638F"/>
    <w:rsid w:val="356F1F1A"/>
    <w:rsid w:val="35A3428A"/>
    <w:rsid w:val="36101C06"/>
    <w:rsid w:val="36951020"/>
    <w:rsid w:val="3698058A"/>
    <w:rsid w:val="36AE0FE6"/>
    <w:rsid w:val="36F01751"/>
    <w:rsid w:val="37434E38"/>
    <w:rsid w:val="37DB12B8"/>
    <w:rsid w:val="37F012DD"/>
    <w:rsid w:val="383A3E56"/>
    <w:rsid w:val="384F2912"/>
    <w:rsid w:val="385E0B7D"/>
    <w:rsid w:val="387E1954"/>
    <w:rsid w:val="38CD1C41"/>
    <w:rsid w:val="391638C9"/>
    <w:rsid w:val="39A2473F"/>
    <w:rsid w:val="39A43D79"/>
    <w:rsid w:val="39A75836"/>
    <w:rsid w:val="39A9163F"/>
    <w:rsid w:val="39E364EC"/>
    <w:rsid w:val="3A23270A"/>
    <w:rsid w:val="3AD2116E"/>
    <w:rsid w:val="3AD9074E"/>
    <w:rsid w:val="3AE35129"/>
    <w:rsid w:val="3AF67C8F"/>
    <w:rsid w:val="3B1A3D56"/>
    <w:rsid w:val="3B1F7427"/>
    <w:rsid w:val="3B331C0C"/>
    <w:rsid w:val="3BD50F16"/>
    <w:rsid w:val="3BEE1905"/>
    <w:rsid w:val="3C983C09"/>
    <w:rsid w:val="3CAA23A2"/>
    <w:rsid w:val="3CCD6091"/>
    <w:rsid w:val="3CDC14CC"/>
    <w:rsid w:val="3CE1162D"/>
    <w:rsid w:val="3D2D6B2F"/>
    <w:rsid w:val="3D3E0D3C"/>
    <w:rsid w:val="3D404D73"/>
    <w:rsid w:val="3DCB0822"/>
    <w:rsid w:val="3E0510A6"/>
    <w:rsid w:val="3E29379B"/>
    <w:rsid w:val="3E3E3694"/>
    <w:rsid w:val="3E5720B6"/>
    <w:rsid w:val="3E575B43"/>
    <w:rsid w:val="3EA5089C"/>
    <w:rsid w:val="3EA6303D"/>
    <w:rsid w:val="3EAE5A4E"/>
    <w:rsid w:val="3EEA5B9A"/>
    <w:rsid w:val="3F0D203C"/>
    <w:rsid w:val="3F42649C"/>
    <w:rsid w:val="3F671C45"/>
    <w:rsid w:val="3F7D5B4C"/>
    <w:rsid w:val="3FBD00F6"/>
    <w:rsid w:val="40681BA6"/>
    <w:rsid w:val="40CA39CB"/>
    <w:rsid w:val="40EE65D6"/>
    <w:rsid w:val="410638A6"/>
    <w:rsid w:val="415907BD"/>
    <w:rsid w:val="41736037"/>
    <w:rsid w:val="41790595"/>
    <w:rsid w:val="41C51A2C"/>
    <w:rsid w:val="41EE2D31"/>
    <w:rsid w:val="423C69D9"/>
    <w:rsid w:val="428F6AAD"/>
    <w:rsid w:val="42D02225"/>
    <w:rsid w:val="432B0ECD"/>
    <w:rsid w:val="43A37B4B"/>
    <w:rsid w:val="43D16466"/>
    <w:rsid w:val="43DE6767"/>
    <w:rsid w:val="43E57F4E"/>
    <w:rsid w:val="443609BF"/>
    <w:rsid w:val="444641F0"/>
    <w:rsid w:val="445D0F5F"/>
    <w:rsid w:val="4466774F"/>
    <w:rsid w:val="453B1026"/>
    <w:rsid w:val="453E3FCF"/>
    <w:rsid w:val="45BE0C6C"/>
    <w:rsid w:val="45CE1321"/>
    <w:rsid w:val="45D068E6"/>
    <w:rsid w:val="45D23AB3"/>
    <w:rsid w:val="464D5DEC"/>
    <w:rsid w:val="466C77FF"/>
    <w:rsid w:val="46A14816"/>
    <w:rsid w:val="46CF6763"/>
    <w:rsid w:val="46F92643"/>
    <w:rsid w:val="47226FD9"/>
    <w:rsid w:val="4729646B"/>
    <w:rsid w:val="47800598"/>
    <w:rsid w:val="47BE7C84"/>
    <w:rsid w:val="480037BE"/>
    <w:rsid w:val="4803505C"/>
    <w:rsid w:val="48141018"/>
    <w:rsid w:val="48A56114"/>
    <w:rsid w:val="48C02D2F"/>
    <w:rsid w:val="49052769"/>
    <w:rsid w:val="49184025"/>
    <w:rsid w:val="492C3879"/>
    <w:rsid w:val="497950A9"/>
    <w:rsid w:val="49D10191"/>
    <w:rsid w:val="49D14008"/>
    <w:rsid w:val="49EB7B56"/>
    <w:rsid w:val="49F509D5"/>
    <w:rsid w:val="49FF6325"/>
    <w:rsid w:val="4A0E24AB"/>
    <w:rsid w:val="4A5B2F2E"/>
    <w:rsid w:val="4A6E7F39"/>
    <w:rsid w:val="4A940351"/>
    <w:rsid w:val="4ACD51FF"/>
    <w:rsid w:val="4B013AD5"/>
    <w:rsid w:val="4B3E6E12"/>
    <w:rsid w:val="4B4B001E"/>
    <w:rsid w:val="4B6B0F4E"/>
    <w:rsid w:val="4B92472D"/>
    <w:rsid w:val="4B9E330C"/>
    <w:rsid w:val="4BC845F3"/>
    <w:rsid w:val="4C0501E3"/>
    <w:rsid w:val="4C14667C"/>
    <w:rsid w:val="4C2D26A8"/>
    <w:rsid w:val="4C46376A"/>
    <w:rsid w:val="4C8524E4"/>
    <w:rsid w:val="4CE358C0"/>
    <w:rsid w:val="4D355CB8"/>
    <w:rsid w:val="4D4E0B28"/>
    <w:rsid w:val="4D564B0B"/>
    <w:rsid w:val="4E022E2E"/>
    <w:rsid w:val="4E055E45"/>
    <w:rsid w:val="4E384CBD"/>
    <w:rsid w:val="4E4837C9"/>
    <w:rsid w:val="4E9D3807"/>
    <w:rsid w:val="4EAD5D22"/>
    <w:rsid w:val="4EDA7B87"/>
    <w:rsid w:val="4EE61A2D"/>
    <w:rsid w:val="4F044143"/>
    <w:rsid w:val="4F4405DB"/>
    <w:rsid w:val="4F710AFD"/>
    <w:rsid w:val="4F9111A0"/>
    <w:rsid w:val="50075A68"/>
    <w:rsid w:val="50EB50F9"/>
    <w:rsid w:val="50F347A1"/>
    <w:rsid w:val="50F9524E"/>
    <w:rsid w:val="51024103"/>
    <w:rsid w:val="510671BD"/>
    <w:rsid w:val="514E559A"/>
    <w:rsid w:val="517448D5"/>
    <w:rsid w:val="51A766C5"/>
    <w:rsid w:val="51F77775"/>
    <w:rsid w:val="52086CED"/>
    <w:rsid w:val="52100AA2"/>
    <w:rsid w:val="523A78CD"/>
    <w:rsid w:val="527357F7"/>
    <w:rsid w:val="52742866"/>
    <w:rsid w:val="52AA01DD"/>
    <w:rsid w:val="532760A3"/>
    <w:rsid w:val="533B38FC"/>
    <w:rsid w:val="53582700"/>
    <w:rsid w:val="536955EC"/>
    <w:rsid w:val="53803A05"/>
    <w:rsid w:val="53CA3371"/>
    <w:rsid w:val="53D338A0"/>
    <w:rsid w:val="54563EBE"/>
    <w:rsid w:val="54634B07"/>
    <w:rsid w:val="548357AA"/>
    <w:rsid w:val="54C2712D"/>
    <w:rsid w:val="54CD7B34"/>
    <w:rsid w:val="5516017D"/>
    <w:rsid w:val="553618FB"/>
    <w:rsid w:val="55733DC6"/>
    <w:rsid w:val="558F6181"/>
    <w:rsid w:val="55A83C13"/>
    <w:rsid w:val="5640122A"/>
    <w:rsid w:val="56665134"/>
    <w:rsid w:val="56A84CA2"/>
    <w:rsid w:val="56D007FF"/>
    <w:rsid w:val="56FE35BF"/>
    <w:rsid w:val="571B7CCD"/>
    <w:rsid w:val="57927D29"/>
    <w:rsid w:val="57DA0A4F"/>
    <w:rsid w:val="584C2108"/>
    <w:rsid w:val="58973B6A"/>
    <w:rsid w:val="58EB2348"/>
    <w:rsid w:val="592530E1"/>
    <w:rsid w:val="59955E7D"/>
    <w:rsid w:val="59A20FE4"/>
    <w:rsid w:val="59AD7291"/>
    <w:rsid w:val="59B55AA5"/>
    <w:rsid w:val="59DE1485"/>
    <w:rsid w:val="59E4760D"/>
    <w:rsid w:val="59F91E1B"/>
    <w:rsid w:val="5A040EEC"/>
    <w:rsid w:val="5A0B40CF"/>
    <w:rsid w:val="5A1A0B70"/>
    <w:rsid w:val="5A1D1FAE"/>
    <w:rsid w:val="5A2A3B3D"/>
    <w:rsid w:val="5A307CED"/>
    <w:rsid w:val="5A5D4984"/>
    <w:rsid w:val="5A727313"/>
    <w:rsid w:val="5A7B6303"/>
    <w:rsid w:val="5ACB6147"/>
    <w:rsid w:val="5AF14E1D"/>
    <w:rsid w:val="5B09645E"/>
    <w:rsid w:val="5B182775"/>
    <w:rsid w:val="5B3B11ED"/>
    <w:rsid w:val="5B637E94"/>
    <w:rsid w:val="5B836FB3"/>
    <w:rsid w:val="5BBE0239"/>
    <w:rsid w:val="5BD448EE"/>
    <w:rsid w:val="5BE24954"/>
    <w:rsid w:val="5BF70B5B"/>
    <w:rsid w:val="5C050F4B"/>
    <w:rsid w:val="5C802540"/>
    <w:rsid w:val="5C8434D6"/>
    <w:rsid w:val="5C9B540C"/>
    <w:rsid w:val="5CA16EC6"/>
    <w:rsid w:val="5CDB2C89"/>
    <w:rsid w:val="5D066D29"/>
    <w:rsid w:val="5D077FFF"/>
    <w:rsid w:val="5DF62A3E"/>
    <w:rsid w:val="5DFD1850"/>
    <w:rsid w:val="5E385608"/>
    <w:rsid w:val="5E797DB4"/>
    <w:rsid w:val="5E8C71F4"/>
    <w:rsid w:val="5EAD0A48"/>
    <w:rsid w:val="5F2711D9"/>
    <w:rsid w:val="5F926F9A"/>
    <w:rsid w:val="5F9920D6"/>
    <w:rsid w:val="5FAF18FA"/>
    <w:rsid w:val="5FB05672"/>
    <w:rsid w:val="5FDA4AC5"/>
    <w:rsid w:val="60014D31"/>
    <w:rsid w:val="606446FD"/>
    <w:rsid w:val="60820DBC"/>
    <w:rsid w:val="60B3541A"/>
    <w:rsid w:val="610619ED"/>
    <w:rsid w:val="61AE7201"/>
    <w:rsid w:val="61CC5351"/>
    <w:rsid w:val="61E810F3"/>
    <w:rsid w:val="623477B4"/>
    <w:rsid w:val="62406462"/>
    <w:rsid w:val="6267026A"/>
    <w:rsid w:val="627604AD"/>
    <w:rsid w:val="62AC69A0"/>
    <w:rsid w:val="62DA4EE0"/>
    <w:rsid w:val="62E0001C"/>
    <w:rsid w:val="63844E4C"/>
    <w:rsid w:val="63B44D9E"/>
    <w:rsid w:val="63D04815"/>
    <w:rsid w:val="641D31F4"/>
    <w:rsid w:val="642D11D2"/>
    <w:rsid w:val="646F0031"/>
    <w:rsid w:val="64807FB8"/>
    <w:rsid w:val="648C220A"/>
    <w:rsid w:val="64D63189"/>
    <w:rsid w:val="65414DC6"/>
    <w:rsid w:val="65754B0E"/>
    <w:rsid w:val="65B66FA0"/>
    <w:rsid w:val="66715776"/>
    <w:rsid w:val="6692564A"/>
    <w:rsid w:val="66C64415"/>
    <w:rsid w:val="66D55C14"/>
    <w:rsid w:val="67093A50"/>
    <w:rsid w:val="677E641A"/>
    <w:rsid w:val="67BA61E8"/>
    <w:rsid w:val="68DD74D8"/>
    <w:rsid w:val="68E02B24"/>
    <w:rsid w:val="69A94E0C"/>
    <w:rsid w:val="69C86445"/>
    <w:rsid w:val="69FF522C"/>
    <w:rsid w:val="6A185253"/>
    <w:rsid w:val="6A1F044D"/>
    <w:rsid w:val="6A524A9D"/>
    <w:rsid w:val="6A7E25F5"/>
    <w:rsid w:val="6A8C0BBC"/>
    <w:rsid w:val="6AA53F2F"/>
    <w:rsid w:val="6ADC6566"/>
    <w:rsid w:val="6AFE3735"/>
    <w:rsid w:val="6B2C7782"/>
    <w:rsid w:val="6B5B5989"/>
    <w:rsid w:val="6B625A72"/>
    <w:rsid w:val="6B686E01"/>
    <w:rsid w:val="6B903F9B"/>
    <w:rsid w:val="6BA77929"/>
    <w:rsid w:val="6BD94D78"/>
    <w:rsid w:val="6BE96194"/>
    <w:rsid w:val="6BEE5558"/>
    <w:rsid w:val="6C092392"/>
    <w:rsid w:val="6C417D7E"/>
    <w:rsid w:val="6C47110C"/>
    <w:rsid w:val="6C64581A"/>
    <w:rsid w:val="6C7D63AC"/>
    <w:rsid w:val="6CC14A1B"/>
    <w:rsid w:val="6D0667A6"/>
    <w:rsid w:val="6D156B14"/>
    <w:rsid w:val="6D2A2F35"/>
    <w:rsid w:val="6D360AB0"/>
    <w:rsid w:val="6D734E33"/>
    <w:rsid w:val="6DBC33D5"/>
    <w:rsid w:val="6DFA3716"/>
    <w:rsid w:val="6E292877"/>
    <w:rsid w:val="6E49116B"/>
    <w:rsid w:val="6E775502"/>
    <w:rsid w:val="6EAB4343"/>
    <w:rsid w:val="6EB32A89"/>
    <w:rsid w:val="6EF14F0E"/>
    <w:rsid w:val="6F6D70DC"/>
    <w:rsid w:val="6F765F90"/>
    <w:rsid w:val="6F782FE2"/>
    <w:rsid w:val="7066064A"/>
    <w:rsid w:val="70BA4782"/>
    <w:rsid w:val="70EF2565"/>
    <w:rsid w:val="714C5B72"/>
    <w:rsid w:val="71551BD5"/>
    <w:rsid w:val="71D86ACE"/>
    <w:rsid w:val="71E967C5"/>
    <w:rsid w:val="72006795"/>
    <w:rsid w:val="722933A0"/>
    <w:rsid w:val="722C13C8"/>
    <w:rsid w:val="72B37C4E"/>
    <w:rsid w:val="72C40DC1"/>
    <w:rsid w:val="72C82BBF"/>
    <w:rsid w:val="72CD7C81"/>
    <w:rsid w:val="72F316A6"/>
    <w:rsid w:val="733817AF"/>
    <w:rsid w:val="73412411"/>
    <w:rsid w:val="738E5ACB"/>
    <w:rsid w:val="73AF626D"/>
    <w:rsid w:val="73B76B77"/>
    <w:rsid w:val="73E11097"/>
    <w:rsid w:val="740379EB"/>
    <w:rsid w:val="74346277"/>
    <w:rsid w:val="74827185"/>
    <w:rsid w:val="74A06B51"/>
    <w:rsid w:val="74B55DA6"/>
    <w:rsid w:val="74FF07D6"/>
    <w:rsid w:val="750C6A4F"/>
    <w:rsid w:val="754500BC"/>
    <w:rsid w:val="75543C54"/>
    <w:rsid w:val="75556648"/>
    <w:rsid w:val="75877A89"/>
    <w:rsid w:val="75A137EC"/>
    <w:rsid w:val="760065B4"/>
    <w:rsid w:val="765406AD"/>
    <w:rsid w:val="76B0506B"/>
    <w:rsid w:val="76B259BC"/>
    <w:rsid w:val="76B4739E"/>
    <w:rsid w:val="76BF5F6B"/>
    <w:rsid w:val="779A6704"/>
    <w:rsid w:val="77A513AC"/>
    <w:rsid w:val="78413CD2"/>
    <w:rsid w:val="78981048"/>
    <w:rsid w:val="789B6166"/>
    <w:rsid w:val="78B277D5"/>
    <w:rsid w:val="78E454B3"/>
    <w:rsid w:val="795310F0"/>
    <w:rsid w:val="797D7F1B"/>
    <w:rsid w:val="797F7F69"/>
    <w:rsid w:val="79CC5566"/>
    <w:rsid w:val="79D02741"/>
    <w:rsid w:val="7A286EF1"/>
    <w:rsid w:val="7A5C5097"/>
    <w:rsid w:val="7A9C0875"/>
    <w:rsid w:val="7B036D36"/>
    <w:rsid w:val="7B055850"/>
    <w:rsid w:val="7B7274CC"/>
    <w:rsid w:val="7B811F45"/>
    <w:rsid w:val="7C1D1629"/>
    <w:rsid w:val="7C4E45AF"/>
    <w:rsid w:val="7CEB7345"/>
    <w:rsid w:val="7CED360A"/>
    <w:rsid w:val="7CFC24CC"/>
    <w:rsid w:val="7D463CC5"/>
    <w:rsid w:val="7D627C28"/>
    <w:rsid w:val="7D686C61"/>
    <w:rsid w:val="7D93164C"/>
    <w:rsid w:val="7DAA071D"/>
    <w:rsid w:val="7DBD4D8A"/>
    <w:rsid w:val="7DCB394B"/>
    <w:rsid w:val="7E010EF3"/>
    <w:rsid w:val="7E1E7DBE"/>
    <w:rsid w:val="7E2B2E0C"/>
    <w:rsid w:val="7E5020A2"/>
    <w:rsid w:val="7F703B31"/>
    <w:rsid w:val="7F7A3141"/>
    <w:rsid w:val="7FB14DC3"/>
    <w:rsid w:val="7FBF4FBD"/>
    <w:rsid w:val="7FDB6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8"/>
    <w:qFormat/>
    <w:uiPriority w:val="0"/>
    <w:pPr>
      <w:widowControl/>
      <w:spacing w:before="100" w:beforeAutospacing="1" w:after="100" w:afterAutospacing="1"/>
      <w:jc w:val="left"/>
      <w:outlineLvl w:val="1"/>
    </w:pPr>
    <w:rPr>
      <w:rFonts w:ascii="宋体" w:hAnsi="宋体" w:eastAsia="宋体" w:cs="宋体"/>
      <w:b/>
      <w:bCs/>
      <w:sz w:val="36"/>
      <w:szCs w:val="36"/>
    </w:rPr>
  </w:style>
  <w:style w:type="paragraph" w:styleId="4">
    <w:name w:val="heading 3"/>
    <w:basedOn w:val="1"/>
    <w:next w:val="1"/>
    <w:link w:val="39"/>
    <w:qFormat/>
    <w:uiPriority w:val="0"/>
    <w:pPr>
      <w:keepNext/>
      <w:keepLines/>
      <w:spacing w:before="260" w:after="260" w:line="413" w:lineRule="auto"/>
      <w:outlineLvl w:val="2"/>
    </w:pPr>
    <w:rPr>
      <w:rFonts w:ascii="Times New Roman" w:hAnsi="Times New Roman" w:eastAsia="宋体" w:cs="Times New Roman"/>
      <w:b/>
      <w:sz w:val="32"/>
      <w:szCs w:val="24"/>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5">
    <w:name w:val="toc 7"/>
    <w:basedOn w:val="1"/>
    <w:next w:val="1"/>
    <w:unhideWhenUsed/>
    <w:qFormat/>
    <w:uiPriority w:val="0"/>
    <w:pPr>
      <w:ind w:left="2520" w:leftChars="1200"/>
    </w:pPr>
  </w:style>
  <w:style w:type="paragraph" w:styleId="6">
    <w:name w:val="table of authorities"/>
    <w:basedOn w:val="1"/>
    <w:next w:val="1"/>
    <w:qFormat/>
    <w:uiPriority w:val="0"/>
    <w:pPr>
      <w:ind w:left="420" w:leftChars="200"/>
    </w:pPr>
    <w:rPr>
      <w:rFonts w:ascii="Times New Roman" w:hAnsi="Times New Roman" w:eastAsia="宋体" w:cs="Times New Roman"/>
      <w:szCs w:val="24"/>
    </w:rPr>
  </w:style>
  <w:style w:type="paragraph" w:styleId="7">
    <w:name w:val="annotation text"/>
    <w:basedOn w:val="1"/>
    <w:link w:val="57"/>
    <w:qFormat/>
    <w:uiPriority w:val="0"/>
    <w:pPr>
      <w:jc w:val="left"/>
    </w:pPr>
    <w:rPr>
      <w:szCs w:val="24"/>
    </w:rPr>
  </w:style>
  <w:style w:type="paragraph" w:styleId="8">
    <w:name w:val="Body Text"/>
    <w:basedOn w:val="1"/>
    <w:link w:val="64"/>
    <w:qFormat/>
    <w:uiPriority w:val="0"/>
    <w:pPr>
      <w:ind w:left="101"/>
    </w:pPr>
    <w:rPr>
      <w:rFonts w:ascii="宋体" w:hAnsi="宋体" w:eastAsia="宋体" w:cs="Times New Roman"/>
      <w:sz w:val="28"/>
      <w:szCs w:val="28"/>
    </w:rPr>
  </w:style>
  <w:style w:type="paragraph" w:styleId="9">
    <w:name w:val="Body Text Indent"/>
    <w:basedOn w:val="1"/>
    <w:link w:val="45"/>
    <w:qFormat/>
    <w:uiPriority w:val="0"/>
    <w:pPr>
      <w:ind w:left="720"/>
    </w:pPr>
    <w:rPr>
      <w:rFonts w:eastAsia="宋体"/>
      <w:szCs w:val="24"/>
    </w:rPr>
  </w:style>
  <w:style w:type="paragraph" w:styleId="10">
    <w:name w:val="toc 5"/>
    <w:basedOn w:val="1"/>
    <w:next w:val="1"/>
    <w:unhideWhenUsed/>
    <w:qFormat/>
    <w:uiPriority w:val="0"/>
    <w:pPr>
      <w:ind w:left="1680" w:leftChars="800"/>
    </w:pPr>
  </w:style>
  <w:style w:type="paragraph" w:styleId="11">
    <w:name w:val="toc 3"/>
    <w:basedOn w:val="1"/>
    <w:next w:val="1"/>
    <w:unhideWhenUsed/>
    <w:qFormat/>
    <w:uiPriority w:val="0"/>
    <w:pPr>
      <w:ind w:left="840" w:leftChars="400"/>
    </w:pPr>
  </w:style>
  <w:style w:type="paragraph" w:styleId="12">
    <w:name w:val="Plain Text"/>
    <w:basedOn w:val="1"/>
    <w:link w:val="47"/>
    <w:qFormat/>
    <w:uiPriority w:val="0"/>
    <w:rPr>
      <w:rFonts w:ascii="宋体" w:hAnsi="Courier New" w:eastAsia="宋体"/>
      <w:szCs w:val="21"/>
    </w:rPr>
  </w:style>
  <w:style w:type="paragraph" w:styleId="13">
    <w:name w:val="toc 8"/>
    <w:basedOn w:val="1"/>
    <w:next w:val="1"/>
    <w:unhideWhenUsed/>
    <w:qFormat/>
    <w:uiPriority w:val="0"/>
    <w:pPr>
      <w:ind w:left="2940" w:leftChars="1400"/>
    </w:pPr>
  </w:style>
  <w:style w:type="paragraph" w:styleId="14">
    <w:name w:val="Balloon Text"/>
    <w:basedOn w:val="1"/>
    <w:link w:val="50"/>
    <w:qFormat/>
    <w:uiPriority w:val="0"/>
    <w:rPr>
      <w:rFonts w:eastAsia="宋体"/>
      <w:sz w:val="18"/>
      <w:szCs w:val="18"/>
    </w:rPr>
  </w:style>
  <w:style w:type="paragraph" w:styleId="15">
    <w:name w:val="footer"/>
    <w:basedOn w:val="1"/>
    <w:link w:val="46"/>
    <w:qFormat/>
    <w:uiPriority w:val="0"/>
    <w:pPr>
      <w:tabs>
        <w:tab w:val="center" w:pos="4153"/>
        <w:tab w:val="right" w:pos="8306"/>
      </w:tabs>
      <w:snapToGrid w:val="0"/>
      <w:jc w:val="left"/>
    </w:pPr>
    <w:rPr>
      <w:rFonts w:eastAsia="宋体"/>
      <w:sz w:val="18"/>
      <w:szCs w:val="18"/>
    </w:rPr>
  </w:style>
  <w:style w:type="paragraph" w:styleId="16">
    <w:name w:val="header"/>
    <w:basedOn w:val="1"/>
    <w:link w:val="59"/>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7">
    <w:name w:val="toc 1"/>
    <w:basedOn w:val="1"/>
    <w:next w:val="1"/>
    <w:qFormat/>
    <w:uiPriority w:val="39"/>
    <w:rPr>
      <w:rFonts w:ascii="Times New Roman" w:hAnsi="Times New Roman" w:eastAsia="宋体" w:cs="Times New Roman"/>
      <w:szCs w:val="24"/>
    </w:rPr>
  </w:style>
  <w:style w:type="paragraph" w:styleId="18">
    <w:name w:val="toc 4"/>
    <w:basedOn w:val="1"/>
    <w:next w:val="1"/>
    <w:unhideWhenUsed/>
    <w:qFormat/>
    <w:uiPriority w:val="0"/>
    <w:pPr>
      <w:ind w:left="1260" w:leftChars="600"/>
    </w:pPr>
  </w:style>
  <w:style w:type="paragraph" w:styleId="19">
    <w:name w:val="Subtitle"/>
    <w:basedOn w:val="1"/>
    <w:next w:val="1"/>
    <w:link w:val="103"/>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0">
    <w:name w:val="toc 6"/>
    <w:basedOn w:val="1"/>
    <w:next w:val="1"/>
    <w:unhideWhenUsed/>
    <w:qFormat/>
    <w:uiPriority w:val="0"/>
    <w:pPr>
      <w:ind w:left="2100" w:leftChars="1000"/>
    </w:pPr>
  </w:style>
  <w:style w:type="paragraph" w:styleId="21">
    <w:name w:val="toc 2"/>
    <w:basedOn w:val="1"/>
    <w:next w:val="1"/>
    <w:qFormat/>
    <w:uiPriority w:val="0"/>
    <w:pPr>
      <w:ind w:left="420" w:leftChars="200"/>
    </w:pPr>
    <w:rPr>
      <w:rFonts w:ascii="Times New Roman" w:hAnsi="Times New Roman" w:eastAsia="宋体" w:cs="Times New Roman"/>
      <w:szCs w:val="24"/>
    </w:rPr>
  </w:style>
  <w:style w:type="paragraph" w:styleId="22">
    <w:name w:val="toc 9"/>
    <w:basedOn w:val="1"/>
    <w:next w:val="1"/>
    <w:unhideWhenUsed/>
    <w:qFormat/>
    <w:uiPriority w:val="0"/>
    <w:pPr>
      <w:ind w:left="3360" w:leftChars="1600"/>
    </w:pPr>
  </w:style>
  <w:style w:type="paragraph" w:styleId="23">
    <w:name w:val="HTML Preformatted"/>
    <w:basedOn w:val="1"/>
    <w:link w:val="6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Wingdings 3" w:hAnsi="Wingdings 3" w:eastAsia="Wingdings 3" w:cs="Times New Roman"/>
      <w:kern w:val="0"/>
      <w:sz w:val="24"/>
      <w:szCs w:val="24"/>
    </w:rPr>
  </w:style>
  <w:style w:type="paragraph" w:styleId="2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next w:val="1"/>
    <w:link w:val="58"/>
    <w:qFormat/>
    <w:uiPriority w:val="0"/>
    <w:pPr>
      <w:spacing w:before="240" w:after="60"/>
      <w:jc w:val="center"/>
      <w:outlineLvl w:val="0"/>
    </w:pPr>
    <w:rPr>
      <w:rFonts w:ascii="Cambria" w:hAnsi="Cambria" w:eastAsia="宋体"/>
      <w:b/>
      <w:bCs/>
      <w:sz w:val="32"/>
      <w:szCs w:val="32"/>
    </w:rPr>
  </w:style>
  <w:style w:type="paragraph" w:styleId="26">
    <w:name w:val="annotation subject"/>
    <w:basedOn w:val="7"/>
    <w:next w:val="7"/>
    <w:link w:val="77"/>
    <w:qFormat/>
    <w:uiPriority w:val="0"/>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Emphasis"/>
    <w:basedOn w:val="29"/>
    <w:qFormat/>
    <w:uiPriority w:val="0"/>
    <w:rPr>
      <w:i/>
    </w:rPr>
  </w:style>
  <w:style w:type="character" w:styleId="32">
    <w:name w:val="Hyperlink"/>
    <w:qFormat/>
    <w:uiPriority w:val="99"/>
    <w:rPr>
      <w:color w:val="0063C8"/>
      <w:u w:val="none"/>
    </w:rPr>
  </w:style>
  <w:style w:type="character" w:styleId="33">
    <w:name w:val="annotation reference"/>
    <w:qFormat/>
    <w:uiPriority w:val="0"/>
    <w:rPr>
      <w:sz w:val="21"/>
      <w:szCs w:val="21"/>
    </w:rPr>
  </w:style>
  <w:style w:type="paragraph" w:customStyle="1" w:styleId="34">
    <w:name w:val="样式1"/>
    <w:basedOn w:val="35"/>
    <w:link w:val="121"/>
    <w:qFormat/>
    <w:uiPriority w:val="0"/>
    <w:pPr>
      <w:tabs>
        <w:tab w:val="left" w:pos="993"/>
        <w:tab w:val="left" w:pos="1620"/>
      </w:tabs>
      <w:jc w:val="right"/>
    </w:pPr>
    <w:rPr>
      <w:b w:val="0"/>
      <w:sz w:val="21"/>
    </w:rPr>
  </w:style>
  <w:style w:type="paragraph" w:customStyle="1" w:styleId="35">
    <w:name w:val="章节标题"/>
    <w:basedOn w:val="1"/>
    <w:link w:val="81"/>
    <w:qFormat/>
    <w:uiPriority w:val="0"/>
    <w:pPr>
      <w:tabs>
        <w:tab w:val="left" w:pos="993"/>
        <w:tab w:val="left" w:pos="1620"/>
      </w:tabs>
      <w:snapToGrid w:val="0"/>
      <w:spacing w:line="360" w:lineRule="auto"/>
      <w:ind w:left="284" w:hanging="284" w:hangingChars="101"/>
      <w:jc w:val="left"/>
      <w:outlineLvl w:val="0"/>
    </w:pPr>
    <w:rPr>
      <w:rFonts w:ascii="宋体" w:hAnsi="宋体" w:eastAsia="宋体" w:cs="宋体"/>
      <w:b/>
      <w:color w:val="000000"/>
      <w:sz w:val="28"/>
      <w:szCs w:val="28"/>
    </w:rPr>
  </w:style>
  <w:style w:type="table" w:customStyle="1" w:styleId="36">
    <w:name w:val="中等深浅网格 21"/>
    <w:basedOn w:val="27"/>
    <w:qFormat/>
    <w:uiPriority w:val="0"/>
    <w:rPr>
      <w:rFonts w:ascii="Calibri" w:hAnsi="Calibri"/>
      <w:sz w:val="22"/>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rPr>
      <w:tcPr>
        <w:shd w:val="clear" w:color="auto" w:fill="E5E5E5" w:themeFill="text1" w:themeFillTint="19"/>
      </w:tcPr>
    </w:tblStylePr>
    <w:tblStylePr w:type="lastRow">
      <w:rPr>
        <w:b/>
        <w:bCs/>
        <w:color w:val="000000"/>
      </w:r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rPr>
      <w:tcPr>
        <w:tcBorders>
          <w:top w:val="nil"/>
          <w:left w:val="nil"/>
          <w:bottom w:val="nil"/>
          <w:right w:val="nil"/>
          <w:insideH w:val="nil"/>
          <w:insideV w:val="nil"/>
        </w:tcBorders>
        <w:shd w:val="clear" w:color="auto" w:fill="FFFFFF" w:themeFill="background1"/>
      </w:tcPr>
    </w:tblStylePr>
    <w:tblStylePr w:type="lastCol">
      <w:rPr>
        <w:b w:val="0"/>
        <w:bCs w:val="0"/>
        <w:color w:val="000000"/>
      </w:rPr>
      <w:tcPr>
        <w:tcBorders>
          <w:top w:val="nil"/>
          <w:left w:val="nil"/>
          <w:bottom w:val="nil"/>
          <w:right w:val="nil"/>
          <w:insideH w:val="nil"/>
          <w:insideV w:val="nil"/>
        </w:tcBorders>
        <w:shd w:val="clear" w:color="auto" w:fill="CCCCCC" w:themeFill="text1" w:themeFillTint="33"/>
      </w:tcPr>
    </w:tblStylePr>
    <w:tblStylePr w:type="band1Vert">
      <w:tcPr>
        <w:shd w:val="clear" w:color="auto" w:fill="7F7F7F" w:themeFill="text1" w:themeFillTint="7F"/>
      </w:tcPr>
    </w:tblStylePr>
    <w:tblStylePr w:type="band1Horz">
      <w:tcPr>
        <w:tcBorders>
          <w:insideH w:val="single" w:sz="6" w:space="0"/>
          <w:insideV w:val="single" w:sz="6" w:space="0"/>
        </w:tcBorders>
        <w:shd w:val="clear" w:color="auto" w:fill="7F7F7F" w:themeFill="text1" w:themeFillTint="7F"/>
      </w:tcPr>
    </w:tblStylePr>
    <w:tblStylePr w:type="nwCell">
      <w:tcPr>
        <w:shd w:val="clear" w:color="auto" w:fill="FFFFFF" w:themeFill="background1"/>
      </w:tcPr>
    </w:tblStylePr>
  </w:style>
  <w:style w:type="character" w:customStyle="1" w:styleId="37">
    <w:name w:val="标题 1 字符1"/>
    <w:basedOn w:val="29"/>
    <w:link w:val="2"/>
    <w:qFormat/>
    <w:uiPriority w:val="0"/>
    <w:rPr>
      <w:rFonts w:ascii="Times New Roman" w:hAnsi="Times New Roman" w:eastAsia="宋体" w:cs="Times New Roman"/>
      <w:b/>
      <w:bCs/>
      <w:kern w:val="44"/>
      <w:sz w:val="44"/>
      <w:szCs w:val="44"/>
    </w:rPr>
  </w:style>
  <w:style w:type="character" w:customStyle="1" w:styleId="38">
    <w:name w:val="标题 2 字符1"/>
    <w:basedOn w:val="29"/>
    <w:link w:val="3"/>
    <w:qFormat/>
    <w:uiPriority w:val="0"/>
    <w:rPr>
      <w:rFonts w:ascii="宋体" w:hAnsi="宋体" w:eastAsia="宋体" w:cs="宋体"/>
      <w:b/>
      <w:bCs/>
      <w:sz w:val="36"/>
      <w:szCs w:val="36"/>
    </w:rPr>
  </w:style>
  <w:style w:type="character" w:customStyle="1" w:styleId="39">
    <w:name w:val="标题 3 字符"/>
    <w:basedOn w:val="29"/>
    <w:link w:val="4"/>
    <w:qFormat/>
    <w:uiPriority w:val="0"/>
    <w:rPr>
      <w:rFonts w:ascii="Times New Roman" w:hAnsi="Times New Roman" w:eastAsia="宋体" w:cs="Times New Roman"/>
      <w:b/>
      <w:sz w:val="32"/>
      <w:szCs w:val="24"/>
    </w:rPr>
  </w:style>
  <w:style w:type="character" w:customStyle="1" w:styleId="40">
    <w:name w:val="apple-style-span"/>
    <w:basedOn w:val="29"/>
    <w:qFormat/>
    <w:uiPriority w:val="0"/>
  </w:style>
  <w:style w:type="character" w:customStyle="1" w:styleId="41">
    <w:name w:val="font51"/>
    <w:qFormat/>
    <w:uiPriority w:val="0"/>
    <w:rPr>
      <w:rFonts w:hint="eastAsia" w:ascii="宋体" w:hAnsi="宋体" w:eastAsia="宋体" w:cs="宋体"/>
      <w:color w:val="000000"/>
      <w:sz w:val="21"/>
      <w:szCs w:val="21"/>
      <w:u w:val="none"/>
    </w:rPr>
  </w:style>
  <w:style w:type="character" w:customStyle="1" w:styleId="42">
    <w:name w:val="标题1 Char Char"/>
    <w:link w:val="43"/>
    <w:qFormat/>
    <w:uiPriority w:val="0"/>
    <w:rPr>
      <w:rFonts w:eastAsia="宋体"/>
      <w:b/>
      <w:color w:val="000000"/>
      <w:sz w:val="24"/>
      <w:u w:color="000000"/>
    </w:rPr>
  </w:style>
  <w:style w:type="paragraph" w:customStyle="1" w:styleId="43">
    <w:name w:val="标题1"/>
    <w:basedOn w:val="6"/>
    <w:link w:val="42"/>
    <w:qFormat/>
    <w:uiPriority w:val="0"/>
    <w:pPr>
      <w:widowControl/>
      <w:spacing w:line="360" w:lineRule="auto"/>
      <w:ind w:left="200"/>
      <w:jc w:val="center"/>
      <w:textAlignment w:val="baseline"/>
      <w:outlineLvl w:val="0"/>
    </w:pPr>
    <w:rPr>
      <w:rFonts w:asciiTheme="minorHAnsi" w:hAnsiTheme="minorHAnsi" w:cstheme="minorBidi"/>
      <w:b/>
      <w:color w:val="000000"/>
      <w:sz w:val="24"/>
      <w:szCs w:val="22"/>
      <w:u w:color="000000"/>
    </w:rPr>
  </w:style>
  <w:style w:type="character" w:customStyle="1" w:styleId="44">
    <w:name w:val="Char Char6"/>
    <w:qFormat/>
    <w:uiPriority w:val="0"/>
    <w:rPr>
      <w:rFonts w:ascii="Cambria" w:hAnsi="Cambria" w:eastAsia="宋体"/>
      <w:b/>
      <w:bCs/>
      <w:kern w:val="2"/>
      <w:sz w:val="32"/>
      <w:szCs w:val="32"/>
      <w:lang w:bidi="ar-SA"/>
    </w:rPr>
  </w:style>
  <w:style w:type="character" w:customStyle="1" w:styleId="45">
    <w:name w:val="正文文本缩进 字符1"/>
    <w:link w:val="9"/>
    <w:qFormat/>
    <w:uiPriority w:val="0"/>
    <w:rPr>
      <w:rFonts w:eastAsia="宋体"/>
      <w:szCs w:val="24"/>
    </w:rPr>
  </w:style>
  <w:style w:type="character" w:customStyle="1" w:styleId="46">
    <w:name w:val="页脚 字符1"/>
    <w:link w:val="15"/>
    <w:qFormat/>
    <w:uiPriority w:val="0"/>
    <w:rPr>
      <w:rFonts w:eastAsia="宋体"/>
      <w:sz w:val="18"/>
      <w:szCs w:val="18"/>
    </w:rPr>
  </w:style>
  <w:style w:type="character" w:customStyle="1" w:styleId="47">
    <w:name w:val="纯文本 字符1"/>
    <w:link w:val="12"/>
    <w:qFormat/>
    <w:uiPriority w:val="0"/>
    <w:rPr>
      <w:rFonts w:ascii="宋体" w:hAnsi="Courier New" w:eastAsia="宋体"/>
      <w:szCs w:val="21"/>
    </w:rPr>
  </w:style>
  <w:style w:type="character" w:customStyle="1" w:styleId="48">
    <w:name w:val="正文 + 宋体 Char Char"/>
    <w:link w:val="49"/>
    <w:qFormat/>
    <w:uiPriority w:val="0"/>
    <w:rPr>
      <w:rFonts w:ascii="宋体" w:hAnsi="宋体" w:eastAsia="宋体"/>
      <w:szCs w:val="21"/>
    </w:rPr>
  </w:style>
  <w:style w:type="paragraph" w:customStyle="1" w:styleId="49">
    <w:name w:val="正文 + 宋体"/>
    <w:basedOn w:val="1"/>
    <w:link w:val="48"/>
    <w:qFormat/>
    <w:uiPriority w:val="0"/>
    <w:pPr>
      <w:snapToGrid w:val="0"/>
      <w:ind w:firstLine="420" w:firstLineChars="200"/>
    </w:pPr>
    <w:rPr>
      <w:rFonts w:ascii="宋体" w:hAnsi="宋体" w:eastAsia="宋体"/>
      <w:szCs w:val="21"/>
    </w:rPr>
  </w:style>
  <w:style w:type="character" w:customStyle="1" w:styleId="50">
    <w:name w:val="批注框文本 字符1"/>
    <w:link w:val="14"/>
    <w:qFormat/>
    <w:uiPriority w:val="0"/>
    <w:rPr>
      <w:rFonts w:eastAsia="宋体"/>
      <w:sz w:val="18"/>
      <w:szCs w:val="18"/>
    </w:rPr>
  </w:style>
  <w:style w:type="character" w:customStyle="1" w:styleId="51">
    <w:name w:val="font21"/>
    <w:qFormat/>
    <w:uiPriority w:val="0"/>
    <w:rPr>
      <w:rFonts w:hint="eastAsia" w:ascii="宋体" w:hAnsi="宋体" w:eastAsia="宋体" w:cs="宋体"/>
      <w:color w:val="FF0000"/>
      <w:sz w:val="21"/>
      <w:szCs w:val="21"/>
      <w:u w:val="none"/>
    </w:rPr>
  </w:style>
  <w:style w:type="character" w:customStyle="1" w:styleId="52">
    <w:name w:val="font11"/>
    <w:qFormat/>
    <w:uiPriority w:val="0"/>
    <w:rPr>
      <w:rFonts w:hint="eastAsia" w:ascii="宋体" w:hAnsi="宋体" w:eastAsia="宋体" w:cs="宋体"/>
      <w:color w:val="000000"/>
      <w:sz w:val="21"/>
      <w:szCs w:val="21"/>
      <w:u w:val="none"/>
    </w:rPr>
  </w:style>
  <w:style w:type="character" w:customStyle="1" w:styleId="53">
    <w:name w:val="font31"/>
    <w:qFormat/>
    <w:uiPriority w:val="0"/>
    <w:rPr>
      <w:rFonts w:hint="eastAsia" w:ascii="宋体" w:hAnsi="宋体" w:eastAsia="宋体" w:cs="宋体"/>
      <w:color w:val="000000"/>
      <w:sz w:val="21"/>
      <w:szCs w:val="21"/>
      <w:u w:val="none"/>
    </w:rPr>
  </w:style>
  <w:style w:type="character" w:customStyle="1" w:styleId="54">
    <w:name w:val="大纲正文 Char Char"/>
    <w:link w:val="55"/>
    <w:qFormat/>
    <w:uiPriority w:val="0"/>
    <w:rPr>
      <w:rFonts w:eastAsia="宋体"/>
      <w:color w:val="000000"/>
      <w:u w:color="000000"/>
    </w:rPr>
  </w:style>
  <w:style w:type="paragraph" w:customStyle="1" w:styleId="55">
    <w:name w:val="大纲正文"/>
    <w:basedOn w:val="1"/>
    <w:link w:val="54"/>
    <w:qFormat/>
    <w:uiPriority w:val="0"/>
    <w:pPr>
      <w:snapToGrid w:val="0"/>
      <w:ind w:firstLine="200" w:firstLineChars="200"/>
      <w:textAlignment w:val="baseline"/>
    </w:pPr>
    <w:rPr>
      <w:rFonts w:eastAsia="宋体"/>
      <w:color w:val="000000"/>
      <w:u w:color="000000"/>
    </w:rPr>
  </w:style>
  <w:style w:type="character" w:customStyle="1" w:styleId="56">
    <w:name w:val="中等深浅网格 2 Char"/>
    <w:qFormat/>
    <w:uiPriority w:val="0"/>
    <w:rPr>
      <w:rFonts w:ascii="Calibri" w:hAnsi="Calibri"/>
      <w:sz w:val="22"/>
      <w:szCs w:val="22"/>
      <w:lang w:val="en-US" w:eastAsia="zh-CN" w:bidi="ar-SA"/>
    </w:rPr>
  </w:style>
  <w:style w:type="character" w:customStyle="1" w:styleId="57">
    <w:name w:val="批注文字 字符1"/>
    <w:link w:val="7"/>
    <w:qFormat/>
    <w:uiPriority w:val="0"/>
    <w:rPr>
      <w:szCs w:val="24"/>
    </w:rPr>
  </w:style>
  <w:style w:type="character" w:customStyle="1" w:styleId="58">
    <w:name w:val="标题 字符1"/>
    <w:link w:val="25"/>
    <w:qFormat/>
    <w:uiPriority w:val="0"/>
    <w:rPr>
      <w:rFonts w:ascii="Cambria" w:hAnsi="Cambria" w:eastAsia="宋体"/>
      <w:b/>
      <w:bCs/>
      <w:sz w:val="32"/>
      <w:szCs w:val="32"/>
    </w:rPr>
  </w:style>
  <w:style w:type="character" w:customStyle="1" w:styleId="59">
    <w:name w:val="页眉 字符1"/>
    <w:link w:val="16"/>
    <w:qFormat/>
    <w:uiPriority w:val="0"/>
    <w:rPr>
      <w:rFonts w:eastAsia="宋体"/>
      <w:sz w:val="18"/>
      <w:szCs w:val="18"/>
    </w:rPr>
  </w:style>
  <w:style w:type="character" w:customStyle="1" w:styleId="60">
    <w:name w:val="font01"/>
    <w:qFormat/>
    <w:uiPriority w:val="0"/>
    <w:rPr>
      <w:rFonts w:hint="default" w:ascii="Times New Roman" w:hAnsi="Times New Roman" w:cs="Times New Roman"/>
      <w:color w:val="FF0000"/>
      <w:sz w:val="21"/>
      <w:szCs w:val="21"/>
      <w:u w:val="none"/>
    </w:rPr>
  </w:style>
  <w:style w:type="paragraph" w:customStyle="1" w:styleId="61">
    <w:name w:val="Table Paragraph"/>
    <w:basedOn w:val="1"/>
    <w:qFormat/>
    <w:uiPriority w:val="1"/>
    <w:rPr>
      <w:rFonts w:ascii="Times New Roman" w:hAnsi="Times New Roman" w:eastAsia="宋体" w:cs="Times New Roman"/>
      <w:szCs w:val="24"/>
    </w:rPr>
  </w:style>
  <w:style w:type="character" w:customStyle="1" w:styleId="62">
    <w:name w:val="HTML 预设格式 字符"/>
    <w:basedOn w:val="29"/>
    <w:link w:val="23"/>
    <w:qFormat/>
    <w:uiPriority w:val="99"/>
    <w:rPr>
      <w:rFonts w:ascii="Wingdings 3" w:hAnsi="Wingdings 3" w:eastAsia="Wingdings 3" w:cs="Times New Roman"/>
      <w:kern w:val="0"/>
      <w:sz w:val="24"/>
      <w:szCs w:val="24"/>
    </w:rPr>
  </w:style>
  <w:style w:type="character" w:customStyle="1" w:styleId="63">
    <w:name w:val="批注文字 Char1"/>
    <w:basedOn w:val="29"/>
    <w:semiHidden/>
    <w:qFormat/>
    <w:uiPriority w:val="99"/>
  </w:style>
  <w:style w:type="character" w:customStyle="1" w:styleId="64">
    <w:name w:val="正文文本 字符"/>
    <w:basedOn w:val="29"/>
    <w:link w:val="8"/>
    <w:qFormat/>
    <w:uiPriority w:val="1"/>
    <w:rPr>
      <w:rFonts w:ascii="宋体" w:hAnsi="宋体" w:eastAsia="宋体" w:cs="Times New Roman"/>
      <w:sz w:val="28"/>
      <w:szCs w:val="28"/>
    </w:rPr>
  </w:style>
  <w:style w:type="character" w:customStyle="1" w:styleId="65">
    <w:name w:val="纯文本 Char1"/>
    <w:basedOn w:val="29"/>
    <w:semiHidden/>
    <w:qFormat/>
    <w:uiPriority w:val="99"/>
    <w:rPr>
      <w:rFonts w:ascii="宋体" w:hAnsi="Courier New" w:eastAsia="宋体" w:cs="Courier New"/>
      <w:szCs w:val="21"/>
    </w:rPr>
  </w:style>
  <w:style w:type="character" w:customStyle="1" w:styleId="66">
    <w:name w:val="正文文本缩进 Char1"/>
    <w:basedOn w:val="29"/>
    <w:semiHidden/>
    <w:qFormat/>
    <w:uiPriority w:val="99"/>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p0"/>
    <w:basedOn w:val="1"/>
    <w:qFormat/>
    <w:uiPriority w:val="0"/>
    <w:pPr>
      <w:widowControl/>
    </w:pPr>
    <w:rPr>
      <w:rFonts w:ascii="Times New Roman" w:hAnsi="Times New Roman" w:eastAsia="宋体" w:cs="Times New Roman"/>
      <w:kern w:val="0"/>
      <w:szCs w:val="21"/>
    </w:rPr>
  </w:style>
  <w:style w:type="paragraph" w:customStyle="1" w:styleId="69">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70">
    <w:name w:val="页脚 Char1"/>
    <w:basedOn w:val="29"/>
    <w:semiHidden/>
    <w:qFormat/>
    <w:uiPriority w:val="99"/>
    <w:rPr>
      <w:sz w:val="18"/>
      <w:szCs w:val="18"/>
    </w:rPr>
  </w:style>
  <w:style w:type="paragraph" w:customStyle="1" w:styleId="71">
    <w:name w:val="TOC 标题2"/>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72">
    <w:name w:val="页眉 Char1"/>
    <w:basedOn w:val="29"/>
    <w:semiHidden/>
    <w:qFormat/>
    <w:uiPriority w:val="99"/>
    <w:rPr>
      <w:sz w:val="18"/>
      <w:szCs w:val="18"/>
    </w:rPr>
  </w:style>
  <w:style w:type="character" w:customStyle="1" w:styleId="73">
    <w:name w:val="批注框文本 Char1"/>
    <w:basedOn w:val="29"/>
    <w:semiHidden/>
    <w:qFormat/>
    <w:uiPriority w:val="99"/>
    <w:rPr>
      <w:sz w:val="18"/>
      <w:szCs w:val="18"/>
    </w:rPr>
  </w:style>
  <w:style w:type="paragraph" w:customStyle="1" w:styleId="74">
    <w:name w:val="正文 A"/>
    <w:qFormat/>
    <w:uiPriority w:val="0"/>
    <w:pPr>
      <w:framePr w:wrap="around" w:vAnchor="margin" w:hAnchor="text" w:y="1"/>
      <w:widowControl w:val="0"/>
      <w:jc w:val="both"/>
    </w:pPr>
    <w:rPr>
      <w:rFonts w:hint="eastAsia" w:ascii="Arial Black" w:hAnsi="Arial Black" w:eastAsia="Arial Black" w:cs="Arial Black"/>
      <w:color w:val="000000"/>
      <w:kern w:val="2"/>
      <w:sz w:val="21"/>
      <w:szCs w:val="21"/>
      <w:lang w:val="en-US" w:eastAsia="zh-CN" w:bidi="ar-SA"/>
    </w:rPr>
  </w:style>
  <w:style w:type="paragraph" w:customStyle="1" w:styleId="75">
    <w:name w:val="列出段落1"/>
    <w:basedOn w:val="1"/>
    <w:qFormat/>
    <w:uiPriority w:val="34"/>
    <w:pPr>
      <w:ind w:firstLine="420" w:firstLineChars="200"/>
    </w:pPr>
    <w:rPr>
      <w:rFonts w:ascii="Times New Roman" w:hAnsi="Times New Roman" w:eastAsia="宋体" w:cs="Times New Roman"/>
      <w:szCs w:val="24"/>
    </w:rPr>
  </w:style>
  <w:style w:type="character" w:customStyle="1" w:styleId="76">
    <w:name w:val="标题 Char1"/>
    <w:basedOn w:val="29"/>
    <w:qFormat/>
    <w:uiPriority w:val="10"/>
    <w:rPr>
      <w:rFonts w:eastAsia="宋体" w:asciiTheme="majorHAnsi" w:hAnsiTheme="majorHAnsi" w:cstheme="majorBidi"/>
      <w:b/>
      <w:bCs/>
      <w:sz w:val="32"/>
      <w:szCs w:val="32"/>
    </w:rPr>
  </w:style>
  <w:style w:type="character" w:customStyle="1" w:styleId="77">
    <w:name w:val="批注主题 字符"/>
    <w:basedOn w:val="63"/>
    <w:link w:val="26"/>
    <w:qFormat/>
    <w:uiPriority w:val="0"/>
    <w:rPr>
      <w:b/>
      <w:bCs/>
      <w:szCs w:val="24"/>
    </w:rPr>
  </w:style>
  <w:style w:type="paragraph" w:customStyle="1" w:styleId="78">
    <w:name w:val="人才培养方案名称"/>
    <w:basedOn w:val="25"/>
    <w:link w:val="79"/>
    <w:qFormat/>
    <w:uiPriority w:val="0"/>
    <w:pPr>
      <w:spacing w:line="360" w:lineRule="auto"/>
    </w:pPr>
  </w:style>
  <w:style w:type="character" w:customStyle="1" w:styleId="79">
    <w:name w:val="人才培养方案名称 Char"/>
    <w:basedOn w:val="58"/>
    <w:link w:val="78"/>
    <w:qFormat/>
    <w:uiPriority w:val="0"/>
    <w:rPr>
      <w:rFonts w:ascii="Cambria" w:hAnsi="Cambria" w:eastAsia="宋体"/>
      <w:sz w:val="32"/>
      <w:szCs w:val="32"/>
    </w:rPr>
  </w:style>
  <w:style w:type="paragraph" w:customStyle="1" w:styleId="80">
    <w:name w:val="一级标题"/>
    <w:basedOn w:val="1"/>
    <w:link w:val="83"/>
    <w:qFormat/>
    <w:uiPriority w:val="0"/>
    <w:pPr>
      <w:snapToGrid w:val="0"/>
      <w:spacing w:line="360" w:lineRule="auto"/>
      <w:jc w:val="left"/>
      <w:outlineLvl w:val="0"/>
    </w:pPr>
    <w:rPr>
      <w:rFonts w:ascii="宋体" w:hAnsi="宋体" w:eastAsia="宋体"/>
      <w:b/>
      <w:sz w:val="24"/>
    </w:rPr>
  </w:style>
  <w:style w:type="character" w:customStyle="1" w:styleId="81">
    <w:name w:val="章节标题 Char"/>
    <w:basedOn w:val="29"/>
    <w:link w:val="35"/>
    <w:qFormat/>
    <w:uiPriority w:val="0"/>
    <w:rPr>
      <w:rFonts w:ascii="宋体" w:hAnsi="宋体" w:eastAsia="宋体" w:cs="宋体"/>
      <w:b/>
      <w:color w:val="000000"/>
      <w:sz w:val="28"/>
      <w:szCs w:val="28"/>
    </w:rPr>
  </w:style>
  <w:style w:type="paragraph" w:customStyle="1" w:styleId="82">
    <w:name w:val="二级标题"/>
    <w:basedOn w:val="1"/>
    <w:link w:val="85"/>
    <w:qFormat/>
    <w:uiPriority w:val="0"/>
    <w:pPr>
      <w:snapToGrid w:val="0"/>
      <w:spacing w:line="360" w:lineRule="auto"/>
      <w:outlineLvl w:val="1"/>
    </w:pPr>
    <w:rPr>
      <w:rFonts w:ascii="宋体" w:hAnsi="宋体" w:eastAsia="宋体"/>
      <w:b/>
      <w:szCs w:val="21"/>
    </w:rPr>
  </w:style>
  <w:style w:type="character" w:customStyle="1" w:styleId="83">
    <w:name w:val="一级标题 Char"/>
    <w:basedOn w:val="29"/>
    <w:link w:val="80"/>
    <w:qFormat/>
    <w:uiPriority w:val="0"/>
    <w:rPr>
      <w:rFonts w:ascii="宋体" w:hAnsi="宋体" w:eastAsia="宋体"/>
      <w:b/>
      <w:sz w:val="24"/>
    </w:rPr>
  </w:style>
  <w:style w:type="paragraph" w:customStyle="1" w:styleId="84">
    <w:name w:val="一级表格标题"/>
    <w:basedOn w:val="80"/>
    <w:link w:val="88"/>
    <w:qFormat/>
    <w:uiPriority w:val="0"/>
    <w:pPr>
      <w:jc w:val="center"/>
      <w:outlineLvl w:val="9"/>
    </w:pPr>
  </w:style>
  <w:style w:type="character" w:customStyle="1" w:styleId="85">
    <w:name w:val="二级标题 Char"/>
    <w:basedOn w:val="29"/>
    <w:link w:val="82"/>
    <w:qFormat/>
    <w:uiPriority w:val="0"/>
    <w:rPr>
      <w:rFonts w:ascii="宋体" w:hAnsi="宋体" w:eastAsia="宋体"/>
      <w:b/>
      <w:szCs w:val="21"/>
    </w:rPr>
  </w:style>
  <w:style w:type="character" w:customStyle="1" w:styleId="86">
    <w:name w:val="无间隔 字符1"/>
    <w:link w:val="87"/>
    <w:qFormat/>
    <w:uiPriority w:val="0"/>
    <w:rPr>
      <w:rFonts w:ascii="Calibri" w:hAnsi="Calibri"/>
      <w:sz w:val="22"/>
    </w:rPr>
  </w:style>
  <w:style w:type="paragraph" w:styleId="87">
    <w:name w:val="No Spacing"/>
    <w:link w:val="86"/>
    <w:qFormat/>
    <w:uiPriority w:val="0"/>
    <w:rPr>
      <w:rFonts w:ascii="Calibri" w:hAnsi="Calibri" w:eastAsiaTheme="minorEastAsia" w:cstheme="minorBidi"/>
      <w:kern w:val="2"/>
      <w:sz w:val="22"/>
      <w:szCs w:val="22"/>
      <w:lang w:val="en-US" w:eastAsia="zh-CN" w:bidi="ar-SA"/>
    </w:rPr>
  </w:style>
  <w:style w:type="character" w:customStyle="1" w:styleId="88">
    <w:name w:val="一级表格标题 Char"/>
    <w:basedOn w:val="83"/>
    <w:link w:val="84"/>
    <w:qFormat/>
    <w:uiPriority w:val="0"/>
    <w:rPr>
      <w:rFonts w:ascii="宋体" w:hAnsi="宋体" w:eastAsia="宋体"/>
      <w:sz w:val="24"/>
    </w:rPr>
  </w:style>
  <w:style w:type="paragraph" w:styleId="89">
    <w:name w:val="List Paragraph"/>
    <w:basedOn w:val="1"/>
    <w:qFormat/>
    <w:uiPriority w:val="34"/>
    <w:pPr>
      <w:ind w:firstLine="420" w:firstLineChars="200"/>
    </w:pPr>
    <w:rPr>
      <w:rFonts w:ascii="Times New Roman" w:hAnsi="Times New Roman" w:eastAsia="宋体" w:cs="Times New Roman"/>
      <w:szCs w:val="24"/>
    </w:rPr>
  </w:style>
  <w:style w:type="paragraph" w:customStyle="1" w:styleId="90">
    <w:name w:val="二级表格标题"/>
    <w:basedOn w:val="82"/>
    <w:link w:val="91"/>
    <w:qFormat/>
    <w:uiPriority w:val="0"/>
    <w:pPr>
      <w:jc w:val="center"/>
    </w:pPr>
  </w:style>
  <w:style w:type="character" w:customStyle="1" w:styleId="91">
    <w:name w:val="二级表格标题 Char"/>
    <w:basedOn w:val="85"/>
    <w:link w:val="90"/>
    <w:qFormat/>
    <w:uiPriority w:val="0"/>
    <w:rPr>
      <w:rFonts w:ascii="宋体" w:hAnsi="宋体" w:eastAsia="宋体"/>
      <w:szCs w:val="21"/>
    </w:rPr>
  </w:style>
  <w:style w:type="paragraph" w:customStyle="1" w:styleId="92">
    <w:name w:val="TOC 标题3"/>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93">
    <w:name w:val="目录123"/>
    <w:basedOn w:val="2"/>
    <w:qFormat/>
    <w:uiPriority w:val="0"/>
    <w:pPr>
      <w:spacing w:line="360" w:lineRule="auto"/>
      <w:jc w:val="center"/>
    </w:pPr>
    <w:rPr>
      <w:rFonts w:ascii="宋体" w:hAnsi="宋体" w:eastAsia="黑体"/>
    </w:rPr>
  </w:style>
  <w:style w:type="paragraph" w:customStyle="1" w:styleId="94">
    <w:name w:val="TOC 标题31"/>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95">
    <w:name w:val="标题 #11"/>
    <w:basedOn w:val="96"/>
    <w:unhideWhenUsed/>
    <w:qFormat/>
    <w:uiPriority w:val="99"/>
    <w:rPr>
      <w:rFonts w:ascii="宋体" w:hAnsi="宋体" w:eastAsia="宋体"/>
      <w:spacing w:val="-10"/>
      <w:sz w:val="30"/>
      <w:shd w:val="clear" w:color="auto" w:fill="FFFFFF"/>
    </w:rPr>
  </w:style>
  <w:style w:type="character" w:customStyle="1" w:styleId="96">
    <w:name w:val="标题 #1_"/>
    <w:basedOn w:val="29"/>
    <w:link w:val="97"/>
    <w:unhideWhenUsed/>
    <w:qFormat/>
    <w:uiPriority w:val="99"/>
    <w:rPr>
      <w:rFonts w:ascii="宋体" w:hAnsi="宋体" w:eastAsia="宋体"/>
      <w:spacing w:val="-10"/>
      <w:sz w:val="30"/>
      <w:shd w:val="clear" w:color="auto" w:fill="FFFFFF"/>
    </w:rPr>
  </w:style>
  <w:style w:type="paragraph" w:customStyle="1" w:styleId="97">
    <w:name w:val="标题 #1"/>
    <w:basedOn w:val="1"/>
    <w:link w:val="96"/>
    <w:unhideWhenUsed/>
    <w:qFormat/>
    <w:uiPriority w:val="99"/>
    <w:pPr>
      <w:shd w:val="clear" w:color="auto" w:fill="FFFFFF"/>
      <w:spacing w:after="1320" w:line="240" w:lineRule="atLeast"/>
      <w:outlineLvl w:val="0"/>
    </w:pPr>
    <w:rPr>
      <w:rFonts w:hint="eastAsia" w:ascii="宋体" w:hAnsi="宋体" w:eastAsia="宋体"/>
      <w:spacing w:val="-10"/>
      <w:sz w:val="30"/>
    </w:rPr>
  </w:style>
  <w:style w:type="paragraph" w:customStyle="1" w:styleId="98">
    <w:name w:val="TOC 标题4"/>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99">
    <w:name w:val="_Style 4"/>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00">
    <w:name w:val="TOC 标题5"/>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01">
    <w:name w:val="样式 目录1 + 居中 首行缩进:  0 字符"/>
    <w:basedOn w:val="102"/>
    <w:qFormat/>
    <w:uiPriority w:val="0"/>
    <w:pPr>
      <w:numPr>
        <w:numId w:val="0"/>
      </w:numPr>
      <w:jc w:val="center"/>
    </w:pPr>
    <w:rPr>
      <w:rFonts w:ascii="Calibri" w:hAnsi="Calibri" w:cs="宋体"/>
      <w:bCs/>
      <w:sz w:val="28"/>
      <w:szCs w:val="20"/>
    </w:rPr>
  </w:style>
  <w:style w:type="paragraph" w:customStyle="1" w:styleId="102">
    <w:name w:val="目录1"/>
    <w:basedOn w:val="1"/>
    <w:next w:val="2"/>
    <w:qFormat/>
    <w:uiPriority w:val="0"/>
    <w:pPr>
      <w:numPr>
        <w:ilvl w:val="0"/>
        <w:numId w:val="1"/>
      </w:numPr>
      <w:snapToGrid w:val="0"/>
      <w:spacing w:line="360" w:lineRule="auto"/>
      <w:ind w:firstLine="482" w:firstLineChars="200"/>
    </w:pPr>
    <w:rPr>
      <w:rFonts w:ascii="宋体" w:hAnsi="宋体" w:eastAsia="宋体" w:cs="Times New Roman"/>
      <w:b/>
      <w:sz w:val="24"/>
      <w:szCs w:val="24"/>
    </w:rPr>
  </w:style>
  <w:style w:type="character" w:customStyle="1" w:styleId="103">
    <w:name w:val="副标题 字符"/>
    <w:basedOn w:val="29"/>
    <w:link w:val="19"/>
    <w:qFormat/>
    <w:uiPriority w:val="11"/>
    <w:rPr>
      <w:rFonts w:eastAsia="宋体" w:asciiTheme="majorHAnsi" w:hAnsiTheme="majorHAnsi" w:cstheme="majorBidi"/>
      <w:b/>
      <w:bCs/>
      <w:kern w:val="28"/>
      <w:sz w:val="32"/>
      <w:szCs w:val="32"/>
    </w:rPr>
  </w:style>
  <w:style w:type="character" w:customStyle="1" w:styleId="104">
    <w:name w:val="Char Char61"/>
    <w:qFormat/>
    <w:uiPriority w:val="0"/>
    <w:rPr>
      <w:rFonts w:ascii="Cambria" w:hAnsi="Cambria" w:eastAsia="宋体"/>
      <w:b/>
      <w:bCs/>
      <w:kern w:val="2"/>
      <w:sz w:val="32"/>
      <w:szCs w:val="32"/>
      <w:lang w:bidi="ar-SA"/>
    </w:rPr>
  </w:style>
  <w:style w:type="paragraph" w:customStyle="1" w:styleId="105">
    <w:name w:val="TOC 标题6"/>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106">
    <w:name w:val="列出段落2"/>
    <w:basedOn w:val="1"/>
    <w:qFormat/>
    <w:uiPriority w:val="34"/>
    <w:pPr>
      <w:ind w:firstLine="420" w:firstLineChars="200"/>
    </w:pPr>
    <w:rPr>
      <w:rFonts w:ascii="Times New Roman" w:hAnsi="Times New Roman" w:eastAsia="宋体" w:cs="Times New Roman"/>
      <w:szCs w:val="24"/>
    </w:rPr>
  </w:style>
  <w:style w:type="character" w:customStyle="1" w:styleId="107">
    <w:name w:val="Char Char62"/>
    <w:qFormat/>
    <w:uiPriority w:val="0"/>
    <w:rPr>
      <w:rFonts w:ascii="Cambria" w:hAnsi="Cambria" w:eastAsia="宋体"/>
      <w:b/>
      <w:bCs/>
      <w:kern w:val="2"/>
      <w:sz w:val="32"/>
      <w:szCs w:val="32"/>
      <w:lang w:bidi="ar-SA"/>
    </w:rPr>
  </w:style>
  <w:style w:type="paragraph" w:customStyle="1" w:styleId="108">
    <w:name w:val="列出段落3"/>
    <w:basedOn w:val="1"/>
    <w:qFormat/>
    <w:uiPriority w:val="34"/>
    <w:pPr>
      <w:ind w:firstLine="420" w:firstLineChars="200"/>
    </w:pPr>
    <w:rPr>
      <w:rFonts w:ascii="Times New Roman" w:hAnsi="Times New Roman" w:eastAsia="宋体" w:cs="Times New Roman"/>
      <w:szCs w:val="24"/>
    </w:rPr>
  </w:style>
  <w:style w:type="paragraph" w:customStyle="1" w:styleId="109">
    <w:name w:val="TOC 标题7"/>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110">
    <w:name w:val="正文文本缩进 字符"/>
    <w:qFormat/>
    <w:uiPriority w:val="0"/>
    <w:rPr>
      <w:rFonts w:eastAsia="宋体"/>
      <w:kern w:val="2"/>
      <w:sz w:val="21"/>
      <w:szCs w:val="24"/>
      <w:lang w:bidi="ar-SA"/>
    </w:rPr>
  </w:style>
  <w:style w:type="character" w:customStyle="1" w:styleId="111">
    <w:name w:val="页眉 字符"/>
    <w:qFormat/>
    <w:uiPriority w:val="0"/>
    <w:rPr>
      <w:rFonts w:eastAsia="宋体"/>
      <w:kern w:val="2"/>
      <w:sz w:val="18"/>
      <w:szCs w:val="18"/>
      <w:lang w:bidi="ar-SA"/>
    </w:rPr>
  </w:style>
  <w:style w:type="character" w:customStyle="1" w:styleId="112">
    <w:name w:val="页脚 字符"/>
    <w:qFormat/>
    <w:uiPriority w:val="99"/>
    <w:rPr>
      <w:rFonts w:eastAsia="宋体"/>
      <w:kern w:val="2"/>
      <w:sz w:val="18"/>
      <w:szCs w:val="18"/>
      <w:lang w:bidi="ar-SA"/>
    </w:rPr>
  </w:style>
  <w:style w:type="character" w:customStyle="1" w:styleId="113">
    <w:name w:val="无间隔 字符"/>
    <w:qFormat/>
    <w:uiPriority w:val="0"/>
    <w:rPr>
      <w:rFonts w:ascii="Calibri" w:hAnsi="Calibri"/>
      <w:sz w:val="22"/>
      <w:szCs w:val="22"/>
      <w:lang w:val="en-US" w:eastAsia="zh-CN" w:bidi="ar-SA"/>
    </w:rPr>
  </w:style>
  <w:style w:type="character" w:customStyle="1" w:styleId="114">
    <w:name w:val="批注框文本 字符"/>
    <w:qFormat/>
    <w:uiPriority w:val="0"/>
    <w:rPr>
      <w:rFonts w:eastAsia="宋体"/>
      <w:kern w:val="2"/>
      <w:sz w:val="18"/>
      <w:szCs w:val="18"/>
      <w:lang w:val="en-US" w:eastAsia="zh-CN" w:bidi="ar-SA"/>
    </w:rPr>
  </w:style>
  <w:style w:type="character" w:customStyle="1" w:styleId="115">
    <w:name w:val="标题 2 字符"/>
    <w:qFormat/>
    <w:uiPriority w:val="0"/>
    <w:rPr>
      <w:rFonts w:ascii="宋体" w:hAnsi="宋体" w:eastAsia="宋体" w:cs="宋体"/>
      <w:b/>
      <w:bCs/>
      <w:sz w:val="36"/>
      <w:szCs w:val="36"/>
      <w:lang w:val="en-US" w:eastAsia="zh-CN" w:bidi="ar-SA"/>
    </w:rPr>
  </w:style>
  <w:style w:type="character" w:customStyle="1" w:styleId="116">
    <w:name w:val="标题 1 字符"/>
    <w:qFormat/>
    <w:uiPriority w:val="0"/>
    <w:rPr>
      <w:rFonts w:eastAsia="宋体"/>
      <w:b/>
      <w:bCs/>
      <w:kern w:val="44"/>
      <w:sz w:val="44"/>
      <w:szCs w:val="44"/>
      <w:lang w:bidi="ar-SA"/>
    </w:rPr>
  </w:style>
  <w:style w:type="character" w:customStyle="1" w:styleId="117">
    <w:name w:val="批注文字 字符"/>
    <w:qFormat/>
    <w:uiPriority w:val="0"/>
    <w:rPr>
      <w:kern w:val="2"/>
      <w:sz w:val="21"/>
      <w:szCs w:val="24"/>
    </w:rPr>
  </w:style>
  <w:style w:type="character" w:customStyle="1" w:styleId="118">
    <w:name w:val="标题 字符"/>
    <w:qFormat/>
    <w:uiPriority w:val="0"/>
    <w:rPr>
      <w:rFonts w:ascii="Cambria" w:hAnsi="Cambria" w:eastAsia="宋体"/>
      <w:b/>
      <w:bCs/>
      <w:kern w:val="2"/>
      <w:sz w:val="32"/>
      <w:szCs w:val="32"/>
      <w:lang w:bidi="ar-SA"/>
    </w:rPr>
  </w:style>
  <w:style w:type="character" w:customStyle="1" w:styleId="119">
    <w:name w:val="纯文本 字符"/>
    <w:qFormat/>
    <w:uiPriority w:val="0"/>
    <w:rPr>
      <w:rFonts w:ascii="宋体" w:hAnsi="Courier New" w:eastAsia="宋体"/>
      <w:kern w:val="2"/>
      <w:sz w:val="21"/>
      <w:szCs w:val="21"/>
      <w:lang w:bidi="ar-SA"/>
    </w:rPr>
  </w:style>
  <w:style w:type="paragraph" w:customStyle="1" w:styleId="120">
    <w:name w:val="TOC 标题8"/>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121">
    <w:name w:val="样式1 字符"/>
    <w:basedOn w:val="81"/>
    <w:link w:val="34"/>
    <w:qFormat/>
    <w:uiPriority w:val="0"/>
    <w:rPr>
      <w:rFonts w:ascii="宋体" w:hAnsi="宋体" w:eastAsia="宋体" w:cs="宋体"/>
      <w:b w:val="0"/>
      <w:color w:val="000000"/>
      <w:sz w:val="28"/>
      <w:szCs w:val="28"/>
    </w:rPr>
  </w:style>
  <w:style w:type="character" w:customStyle="1" w:styleId="122">
    <w:name w:val="无间隔 Char1"/>
    <w:qFormat/>
    <w:uiPriority w:val="0"/>
    <w:rPr>
      <w:rFonts w:ascii="Calibri" w:hAnsi="Calibr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D8722A-06A1-4A04-BDA5-0AE86F7D575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14110</Words>
  <Characters>15379</Characters>
  <Lines>138</Lines>
  <Paragraphs>38</Paragraphs>
  <TotalTime>1031</TotalTime>
  <ScaleCrop>false</ScaleCrop>
  <LinksUpToDate>false</LinksUpToDate>
  <CharactersWithSpaces>15652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2022-03-21T07:22:00Z</dcterms:created>
  <dc:creator>pc</dc:creator>
  <cp:lastModifiedBy>贾志国</cp:lastModifiedBy>
  <cp:lastPrinted>2022-04-27T08:54:00Z</cp:lastPrinted>
  <dcterms:modified xsi:type="dcterms:W3CDTF">2023-05-05T00:59:57Z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74EC7E1F10B746DBA88A9EEF9C18074B</vt:lpwstr>
  </property>
</Properties>
</file>