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color w:val="000000" w:themeColor="text1"/>
          <w:kern w:val="0"/>
          <w:sz w:val="36"/>
          <w:szCs w:val="36"/>
          <w14:textFill>
            <w14:solidFill>
              <w14:schemeClr w14:val="tx1"/>
            </w14:solidFill>
          </w14:textFill>
        </w:rPr>
      </w:pPr>
      <w:bookmarkStart w:id="50" w:name="_GoBack"/>
      <w:bookmarkEnd w:id="50"/>
    </w:p>
    <w:p>
      <w:pPr>
        <w:widowControl/>
        <w:jc w:val="center"/>
        <w:rPr>
          <w:rFonts w:hint="eastAsia" w:ascii="宋体" w:hAnsi="宋体" w:cs="宋体"/>
          <w:color w:val="000000" w:themeColor="text1"/>
          <w:kern w:val="0"/>
          <w:sz w:val="36"/>
          <w:szCs w:val="36"/>
          <w14:textFill>
            <w14:solidFill>
              <w14:schemeClr w14:val="tx1"/>
            </w14:solidFill>
          </w14:textFill>
        </w:rPr>
      </w:pPr>
    </w:p>
    <w:p>
      <w:pPr>
        <w:widowControl/>
        <w:jc w:val="center"/>
        <w:rPr>
          <w:rFonts w:hint="eastAsia" w:ascii="方正小标宋简体" w:hAnsi="方正小标宋简体" w:eastAsia="方正小标宋简体" w:cs="方正小标宋简体"/>
          <w:color w:val="000000" w:themeColor="text1"/>
          <w:kern w:val="0"/>
          <w:sz w:val="52"/>
          <w:szCs w:val="5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14:textFill>
            <w14:solidFill>
              <w14:schemeClr w14:val="tx1"/>
            </w14:solidFill>
          </w14:textFill>
        </w:rPr>
        <w:t xml:space="preserve">   </w:t>
      </w:r>
    </w:p>
    <w:p>
      <w:pPr>
        <w:widowControl/>
        <w:jc w:val="cente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l="18399" t="17551" r="22235" b="15521"/>
                    <a:stretch>
                      <a:fillRect/>
                    </a:stretch>
                  </pic:blipFill>
                  <pic:spPr>
                    <a:xfrm>
                      <a:off x="0" y="0"/>
                      <a:ext cx="539115" cy="515620"/>
                    </a:xfrm>
                    <a:prstGeom prst="ellipse">
                      <a:avLst/>
                    </a:prstGeom>
                    <a:noFill/>
                    <a:ln>
                      <a:noFill/>
                    </a:ln>
                  </pic:spPr>
                </pic:pic>
              </a:graphicData>
            </a:graphic>
          </wp:anchor>
        </w:drawing>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鄂尔多斯生态环境职业学院</w:t>
      </w:r>
    </w:p>
    <w:p>
      <w:pPr>
        <w:widowControl/>
        <w:jc w:val="cente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三年制高职人才培养方案</w:t>
      </w:r>
    </w:p>
    <w:p>
      <w:pPr>
        <w:widowControl/>
        <w:jc w:val="both"/>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p>
    <w:p>
      <w:pPr>
        <w:widowControl/>
        <w:jc w:val="both"/>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p>
    <w:tbl>
      <w:tblPr>
        <w:tblStyle w:val="28"/>
        <w:tblW w:w="0" w:type="auto"/>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专业</w:t>
            </w:r>
          </w:p>
        </w:tc>
        <w:tc>
          <w:tcPr>
            <w:tcW w:w="5457" w:type="dxa"/>
          </w:tcPr>
          <w:p>
            <w:pPr>
              <w:widowControl/>
              <w:jc w:val="left"/>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t>绿色食品生产技术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制订人</w:t>
            </w:r>
          </w:p>
        </w:tc>
        <w:tc>
          <w:tcPr>
            <w:tcW w:w="5457" w:type="dxa"/>
          </w:tcPr>
          <w:p>
            <w:pPr>
              <w:widowControl/>
              <w:jc w:val="left"/>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t>刘学勤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审核人</w:t>
            </w:r>
          </w:p>
        </w:tc>
        <w:tc>
          <w:tcPr>
            <w:tcW w:w="5457" w:type="dxa"/>
          </w:tcPr>
          <w:p>
            <w:pPr>
              <w:widowControl/>
              <w:jc w:val="left"/>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制定日期</w:t>
            </w:r>
          </w:p>
        </w:tc>
        <w:tc>
          <w:tcPr>
            <w:tcW w:w="5457" w:type="dxa"/>
          </w:tcPr>
          <w:p>
            <w:pPr>
              <w:widowControl/>
              <w:jc w:val="left"/>
              <w:rPr>
                <w:rFonts w:hint="default"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vertAlign w:val="baseline"/>
                <w:lang w:val="en-US" w:eastAsia="zh-CN"/>
                <w14:textFill>
                  <w14:solidFill>
                    <w14:schemeClr w14:val="tx1"/>
                  </w14:solidFill>
                </w14:textFill>
              </w:rPr>
              <w:t>2022.11.6</w:t>
            </w:r>
          </w:p>
        </w:tc>
      </w:tr>
    </w:tbl>
    <w:p>
      <w:pPr>
        <w:widowControl/>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widowControl/>
        <w:jc w:val="both"/>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p>
    <w:p>
      <w:pPr>
        <w:widowControl/>
        <w:jc w:val="both"/>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p>
    <w:p>
      <w:pPr>
        <w:widowControl/>
        <w:jc w:val="cente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鄂尔多斯生态环境职业学院教务处制</w:t>
      </w:r>
    </w:p>
    <w:p>
      <w:pPr>
        <w:widowControl/>
        <w:jc w:val="center"/>
        <w:rPr>
          <w:rFonts w:hint="default" w:ascii="黑体" w:hAnsi="黑体" w:eastAsia="黑体" w:cs="黑体"/>
          <w:color w:val="000000" w:themeColor="text1"/>
          <w:kern w:val="0"/>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start="1"/>
          <w:cols w:space="720" w:num="1"/>
          <w:docGrid w:type="lines" w:linePitch="312" w:charSpace="0"/>
        </w:sectPr>
      </w:pPr>
      <w:r>
        <w:rPr>
          <w:rFonts w:hint="eastAsia" w:ascii="黑体" w:hAnsi="黑体" w:eastAsia="黑体" w:cs="黑体"/>
          <w:color w:val="000000" w:themeColor="text1"/>
          <w:kern w:val="0"/>
          <w:sz w:val="32"/>
          <w:szCs w:val="32"/>
          <w:lang w:val="en-US" w:eastAsia="zh-CN"/>
          <w14:textFill>
            <w14:solidFill>
              <w14:schemeClr w14:val="tx1"/>
            </w14:solidFill>
          </w14:textFill>
        </w:rPr>
        <w:t>二○二二年十月</w:t>
      </w:r>
    </w:p>
    <w:sdt>
      <w:sdtP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id w:val="147469859"/>
        <w15:color w:val="DBDBDB"/>
        <w:docPartObj>
          <w:docPartGallery w:val="Table of Contents"/>
          <w:docPartUnique/>
        </w:docPartObj>
      </w:sdtPr>
      <w:sdtEndPr>
        <w:rPr>
          <w:rFonts w:hint="eastAsia" w:ascii="Segoe UI Variable Text" w:hAnsi="Segoe UI Variable Text" w:eastAsia="Segoe UI Variable Text" w:cs="Segoe UI Variable Text"/>
          <w:color w:val="000000" w:themeColor="text1"/>
          <w:kern w:val="2"/>
          <w:sz w:val="21"/>
          <w:szCs w:val="2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目录</w:t>
          </w:r>
        </w:p>
        <w:p>
          <w:pPr>
            <w:pStyle w:val="17"/>
            <w:tabs>
              <w:tab w:val="right" w:leader="dot" w:pos="8845"/>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_Toc30087 </w:instrText>
          </w:r>
          <w:r>
            <w:fldChar w:fldCharType="separate"/>
          </w:r>
          <w:r>
            <w:rPr>
              <w:rFonts w:hint="eastAsia" w:ascii="黑体" w:hAnsi="黑体" w:eastAsia="黑体" w:cs="黑体"/>
              <w:bCs/>
              <w:szCs w:val="28"/>
              <w:lang w:val="en-US" w:eastAsia="zh-CN"/>
            </w:rPr>
            <w:t>一、</w:t>
          </w:r>
          <w:r>
            <w:rPr>
              <w:rFonts w:hint="eastAsia" w:ascii="黑体" w:hAnsi="黑体" w:eastAsia="黑体" w:cs="黑体"/>
              <w:bCs/>
              <w:szCs w:val="28"/>
            </w:rPr>
            <w:t>专业名称</w:t>
          </w:r>
          <w:r>
            <w:rPr>
              <w:rFonts w:hint="eastAsia" w:ascii="黑体" w:hAnsi="黑体" w:eastAsia="黑体" w:cs="黑体"/>
              <w:bCs/>
              <w:szCs w:val="28"/>
              <w:lang w:eastAsia="zh-CN"/>
            </w:rPr>
            <w:t>（</w:t>
          </w:r>
          <w:r>
            <w:rPr>
              <w:rFonts w:hint="eastAsia" w:ascii="黑体" w:hAnsi="黑体" w:eastAsia="黑体" w:cs="黑体"/>
              <w:bCs/>
              <w:szCs w:val="28"/>
              <w:lang w:val="en-US" w:eastAsia="zh-CN"/>
            </w:rPr>
            <w:t>专业代码</w:t>
          </w:r>
          <w:r>
            <w:rPr>
              <w:rFonts w:hint="eastAsia" w:ascii="黑体" w:hAnsi="黑体" w:eastAsia="黑体" w:cs="黑体"/>
              <w:bCs/>
              <w:szCs w:val="28"/>
              <w:lang w:eastAsia="zh-CN"/>
            </w:rPr>
            <w:t>）</w:t>
          </w:r>
          <w:r>
            <w:tab/>
          </w:r>
          <w:r>
            <w:fldChar w:fldCharType="begin"/>
          </w:r>
          <w:r>
            <w:instrText xml:space="preserve"> PAGEREF _Toc30087 \h </w:instrText>
          </w:r>
          <w:r>
            <w:fldChar w:fldCharType="separate"/>
          </w:r>
          <w:r>
            <w:t>3</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_Toc10415 </w:instrText>
          </w:r>
          <w:r>
            <w:fldChar w:fldCharType="separate"/>
          </w:r>
          <w:r>
            <w:rPr>
              <w:rFonts w:hint="eastAsia" w:ascii="黑体" w:hAnsi="黑体" w:eastAsia="黑体" w:cs="黑体"/>
              <w:bCs/>
              <w:szCs w:val="28"/>
              <w:lang w:val="en-US" w:eastAsia="zh-CN"/>
            </w:rPr>
            <w:t>二、入学要求</w:t>
          </w:r>
          <w:r>
            <w:tab/>
          </w:r>
          <w:r>
            <w:fldChar w:fldCharType="begin"/>
          </w:r>
          <w:r>
            <w:instrText xml:space="preserve"> PAGEREF _Toc10415 \h </w:instrText>
          </w:r>
          <w:r>
            <w:fldChar w:fldCharType="separate"/>
          </w:r>
          <w:r>
            <w:t>3</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_Toc20397 </w:instrText>
          </w:r>
          <w:r>
            <w:fldChar w:fldCharType="separate"/>
          </w:r>
          <w:r>
            <w:rPr>
              <w:rFonts w:hint="eastAsia" w:ascii="黑体" w:hAnsi="黑体" w:eastAsia="黑体" w:cs="黑体"/>
              <w:bCs/>
              <w:szCs w:val="28"/>
              <w:lang w:val="en-US" w:eastAsia="zh-CN"/>
            </w:rPr>
            <w:t>三、修业年限及学历</w:t>
          </w:r>
          <w:r>
            <w:tab/>
          </w:r>
          <w:r>
            <w:fldChar w:fldCharType="begin"/>
          </w:r>
          <w:r>
            <w:instrText xml:space="preserve"> PAGEREF _Toc20397 \h </w:instrText>
          </w:r>
          <w:r>
            <w:fldChar w:fldCharType="separate"/>
          </w:r>
          <w:r>
            <w:t>3</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_Toc27009 </w:instrText>
          </w:r>
          <w:r>
            <w:fldChar w:fldCharType="separate"/>
          </w:r>
          <w:r>
            <w:rPr>
              <w:rFonts w:hint="eastAsia" w:ascii="黑体" w:hAnsi="黑体" w:eastAsia="黑体" w:cs="黑体"/>
              <w:bCs/>
              <w:szCs w:val="28"/>
              <w:lang w:val="en-US" w:eastAsia="zh-CN"/>
            </w:rPr>
            <w:t>四、职业面向</w:t>
          </w:r>
          <w:r>
            <w:tab/>
          </w:r>
          <w:r>
            <w:fldChar w:fldCharType="begin"/>
          </w:r>
          <w:r>
            <w:instrText xml:space="preserve"> PAGEREF _Toc27009 \h </w:instrText>
          </w:r>
          <w:r>
            <w:fldChar w:fldCharType="separate"/>
          </w:r>
          <w:r>
            <w:t>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_Toc16142 </w:instrText>
          </w:r>
          <w:r>
            <w:fldChar w:fldCharType="separate"/>
          </w:r>
          <w:r>
            <w:rPr>
              <w:rFonts w:hint="eastAsia" w:ascii="楷体_GB2312" w:hAnsi="楷体_GB2312" w:eastAsia="楷体_GB2312" w:cs="楷体_GB2312"/>
              <w:szCs w:val="28"/>
              <w:lang w:eastAsia="zh-CN"/>
            </w:rPr>
            <w:t>（</w:t>
          </w:r>
          <w:r>
            <w:rPr>
              <w:rFonts w:hint="eastAsia" w:ascii="楷体_GB2312" w:hAnsi="楷体_GB2312" w:eastAsia="楷体_GB2312" w:cs="楷体_GB2312"/>
              <w:szCs w:val="28"/>
              <w:lang w:val="en-US" w:eastAsia="zh-CN"/>
            </w:rPr>
            <w:t>一</w:t>
          </w:r>
          <w:r>
            <w:rPr>
              <w:rFonts w:hint="eastAsia" w:ascii="楷体_GB2312" w:hAnsi="楷体_GB2312" w:eastAsia="楷体_GB2312" w:cs="楷体_GB2312"/>
              <w:szCs w:val="28"/>
              <w:lang w:eastAsia="zh-CN"/>
            </w:rPr>
            <w:t>）</w:t>
          </w:r>
          <w:r>
            <w:rPr>
              <w:rFonts w:hint="eastAsia" w:ascii="楷体_GB2312" w:hAnsi="楷体_GB2312" w:eastAsia="楷体_GB2312" w:cs="楷体_GB2312"/>
              <w:szCs w:val="28"/>
            </w:rPr>
            <w:t>本专业职业面向（参照专业教学标准填写）</w:t>
          </w:r>
          <w:r>
            <w:tab/>
          </w:r>
          <w:r>
            <w:fldChar w:fldCharType="begin"/>
          </w:r>
          <w:r>
            <w:instrText xml:space="preserve"> PAGEREF _Toc16142 \h </w:instrText>
          </w:r>
          <w:r>
            <w:fldChar w:fldCharType="separate"/>
          </w:r>
          <w:r>
            <w:t>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_Toc9981 </w:instrText>
          </w:r>
          <w:r>
            <w:fldChar w:fldCharType="separate"/>
          </w:r>
          <w:r>
            <w:rPr>
              <w:rFonts w:hint="eastAsia" w:ascii="楷体_GB2312" w:hAnsi="楷体_GB2312" w:eastAsia="楷体_GB2312" w:cs="楷体_GB2312"/>
              <w:szCs w:val="28"/>
              <w:lang w:eastAsia="zh-CN"/>
            </w:rPr>
            <w:t>（</w:t>
          </w:r>
          <w:r>
            <w:rPr>
              <w:rFonts w:hint="eastAsia" w:ascii="楷体_GB2312" w:hAnsi="楷体_GB2312" w:eastAsia="楷体_GB2312" w:cs="楷体_GB2312"/>
              <w:szCs w:val="28"/>
              <w:lang w:val="en-US" w:eastAsia="zh-CN"/>
            </w:rPr>
            <w:t>二</w:t>
          </w:r>
          <w:r>
            <w:rPr>
              <w:rFonts w:hint="eastAsia" w:ascii="楷体_GB2312" w:hAnsi="楷体_GB2312" w:eastAsia="楷体_GB2312" w:cs="楷体_GB2312"/>
              <w:szCs w:val="28"/>
              <w:lang w:eastAsia="zh-CN"/>
            </w:rPr>
            <w:t>）职业等级证书、行业企业标准和证书</w:t>
          </w:r>
          <w:r>
            <w:tab/>
          </w:r>
          <w:r>
            <w:fldChar w:fldCharType="begin"/>
          </w:r>
          <w:r>
            <w:instrText xml:space="preserve"> PAGEREF _Toc9981 \h </w:instrText>
          </w:r>
          <w:r>
            <w:fldChar w:fldCharType="separate"/>
          </w:r>
          <w:r>
            <w:t>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_Toc93 </w:instrText>
          </w:r>
          <w:r>
            <w:fldChar w:fldCharType="separate"/>
          </w:r>
          <w:r>
            <w:rPr>
              <w:rFonts w:hint="eastAsia" w:ascii="仿宋_GB2312" w:hAnsi="仿宋_GB2312" w:eastAsia="仿宋_GB2312" w:cs="仿宋_GB2312"/>
              <w:kern w:val="2"/>
              <w:szCs w:val="28"/>
              <w:lang w:val="en-US" w:eastAsia="zh-CN" w:bidi="ar-SA"/>
            </w:rPr>
            <w:t>1.通用证书</w:t>
          </w:r>
          <w:r>
            <w:tab/>
          </w:r>
          <w:r>
            <w:fldChar w:fldCharType="begin"/>
          </w:r>
          <w:r>
            <w:instrText xml:space="preserve"> PAGEREF _Toc93 \h </w:instrText>
          </w:r>
          <w:r>
            <w:fldChar w:fldCharType="separate"/>
          </w:r>
          <w:r>
            <w:t>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_Toc8164 </w:instrText>
          </w:r>
          <w:r>
            <w:fldChar w:fldCharType="separate"/>
          </w:r>
          <w:r>
            <w:rPr>
              <w:rFonts w:hint="eastAsia" w:ascii="仿宋_GB2312" w:hAnsi="仿宋_GB2312" w:eastAsia="仿宋_GB2312" w:cs="仿宋_GB2312"/>
              <w:kern w:val="2"/>
              <w:szCs w:val="28"/>
              <w:lang w:val="en-US" w:eastAsia="zh-CN" w:bidi="ar-SA"/>
            </w:rPr>
            <w:t>2.本专业职业资格证书</w:t>
          </w:r>
          <w:r>
            <w:tab/>
          </w:r>
          <w:r>
            <w:fldChar w:fldCharType="begin"/>
          </w:r>
          <w:r>
            <w:instrText xml:space="preserve"> PAGEREF _Toc8164 \h </w:instrText>
          </w:r>
          <w:r>
            <w:fldChar w:fldCharType="separate"/>
          </w:r>
          <w:r>
            <w:t>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_Toc24781 </w:instrText>
          </w:r>
          <w:r>
            <w:fldChar w:fldCharType="separate"/>
          </w:r>
          <w:r>
            <w:rPr>
              <w:rFonts w:hint="eastAsia" w:ascii="楷体_GB2312" w:hAnsi="楷体_GB2312" w:eastAsia="楷体_GB2312" w:cs="楷体_GB2312"/>
              <w:szCs w:val="28"/>
              <w:lang w:eastAsia="zh-CN"/>
            </w:rPr>
            <w:t>（</w:t>
          </w:r>
          <w:r>
            <w:rPr>
              <w:rFonts w:hint="eastAsia" w:ascii="楷体_GB2312" w:hAnsi="楷体_GB2312" w:eastAsia="楷体_GB2312" w:cs="楷体_GB2312"/>
              <w:szCs w:val="28"/>
              <w:lang w:val="en-US" w:eastAsia="zh-CN"/>
            </w:rPr>
            <w:t>三</w:t>
          </w:r>
          <w:r>
            <w:rPr>
              <w:rFonts w:hint="eastAsia" w:ascii="楷体_GB2312" w:hAnsi="楷体_GB2312" w:eastAsia="楷体_GB2312" w:cs="楷体_GB2312"/>
              <w:szCs w:val="28"/>
              <w:lang w:eastAsia="zh-CN"/>
            </w:rPr>
            <w:t>）职业</w:t>
          </w:r>
          <w:r>
            <w:rPr>
              <w:rFonts w:hint="eastAsia" w:ascii="楷体_GB2312" w:hAnsi="楷体_GB2312" w:eastAsia="楷体_GB2312" w:cs="楷体_GB2312"/>
              <w:szCs w:val="28"/>
              <w:lang w:val="en-US" w:eastAsia="zh-CN"/>
            </w:rPr>
            <w:t>生涯发展路径</w:t>
          </w:r>
          <w:r>
            <w:tab/>
          </w:r>
          <w:r>
            <w:fldChar w:fldCharType="begin"/>
          </w:r>
          <w:r>
            <w:instrText xml:space="preserve"> PAGEREF _Toc24781 \h </w:instrText>
          </w:r>
          <w:r>
            <w:fldChar w:fldCharType="separate"/>
          </w:r>
          <w:r>
            <w:t>4</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_Toc7860 </w:instrText>
          </w:r>
          <w:r>
            <w:fldChar w:fldCharType="separate"/>
          </w:r>
          <w:r>
            <w:rPr>
              <w:rFonts w:hint="eastAsia" w:ascii="黑体" w:hAnsi="黑体" w:eastAsia="黑体" w:cs="黑体"/>
              <w:bCs/>
              <w:szCs w:val="28"/>
              <w:lang w:val="en-US" w:eastAsia="zh-CN"/>
            </w:rPr>
            <w:t>五、培养目标与规格</w:t>
          </w:r>
          <w:r>
            <w:tab/>
          </w:r>
          <w:r>
            <w:fldChar w:fldCharType="begin"/>
          </w:r>
          <w:r>
            <w:instrText xml:space="preserve"> PAGEREF _Toc7860 \h </w:instrText>
          </w:r>
          <w:r>
            <w:fldChar w:fldCharType="separate"/>
          </w:r>
          <w:r>
            <w:t>4</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_Toc31453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一</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培养目标</w:t>
          </w:r>
          <w:r>
            <w:tab/>
          </w:r>
          <w:r>
            <w:fldChar w:fldCharType="begin"/>
          </w:r>
          <w:r>
            <w:instrText xml:space="preserve"> PAGEREF _Toc31453 \h </w:instrText>
          </w:r>
          <w:r>
            <w:fldChar w:fldCharType="separate"/>
          </w:r>
          <w:r>
            <w:t>4</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_Toc20435 </w:instrText>
          </w:r>
          <w: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二</w:t>
          </w:r>
          <w:r>
            <w:rPr>
              <w:rFonts w:hint="eastAsia" w:ascii="楷体" w:hAnsi="楷体" w:eastAsia="楷体" w:cs="楷体"/>
              <w:bCs/>
              <w:szCs w:val="28"/>
              <w:lang w:eastAsia="zh-CN"/>
            </w:rPr>
            <w:t>）</w:t>
          </w:r>
          <w:r>
            <w:rPr>
              <w:rFonts w:hint="eastAsia" w:ascii="楷体" w:hAnsi="楷体" w:eastAsia="楷体" w:cs="楷体"/>
              <w:bCs/>
              <w:szCs w:val="28"/>
            </w:rPr>
            <w:t>培养规格</w:t>
          </w:r>
          <w:r>
            <w:tab/>
          </w:r>
          <w:r>
            <w:fldChar w:fldCharType="begin"/>
          </w:r>
          <w:r>
            <w:instrText xml:space="preserve"> PAGEREF _Toc20435 \h </w:instrText>
          </w:r>
          <w:r>
            <w:fldChar w:fldCharType="separate"/>
          </w:r>
          <w:r>
            <w:t>4</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_Toc9617 </w:instrText>
          </w:r>
          <w: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三</w:t>
          </w:r>
          <w:r>
            <w:rPr>
              <w:rFonts w:hint="eastAsia" w:ascii="楷体" w:hAnsi="楷体" w:eastAsia="楷体" w:cs="楷体"/>
              <w:bCs/>
              <w:szCs w:val="28"/>
              <w:lang w:eastAsia="zh-CN"/>
            </w:rPr>
            <w:t>）</w:t>
          </w:r>
          <w:r>
            <w:rPr>
              <w:rFonts w:hint="eastAsia" w:ascii="楷体" w:hAnsi="楷体" w:eastAsia="楷体" w:cs="楷体"/>
              <w:bCs/>
              <w:szCs w:val="28"/>
            </w:rPr>
            <w:t>创新创业能力的培养</w:t>
          </w:r>
          <w:r>
            <w:tab/>
          </w:r>
          <w:r>
            <w:fldChar w:fldCharType="begin"/>
          </w:r>
          <w:r>
            <w:instrText xml:space="preserve"> PAGEREF _Toc9617 \h </w:instrText>
          </w:r>
          <w:r>
            <w:fldChar w:fldCharType="separate"/>
          </w:r>
          <w:r>
            <w:t>6</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_Toc13220 </w:instrText>
          </w:r>
          <w:r>
            <w:fldChar w:fldCharType="separate"/>
          </w:r>
          <w:r>
            <w:rPr>
              <w:rFonts w:hint="eastAsia" w:ascii="黑体" w:hAnsi="黑体" w:eastAsia="黑体" w:cs="黑体"/>
              <w:szCs w:val="28"/>
              <w:lang w:val="en-US" w:eastAsia="zh-CN"/>
            </w:rPr>
            <w:t>六、</w:t>
          </w:r>
          <w:r>
            <w:rPr>
              <w:rFonts w:hint="eastAsia" w:ascii="黑体" w:hAnsi="黑体" w:eastAsia="黑体" w:cs="黑体"/>
              <w:szCs w:val="28"/>
            </w:rPr>
            <w:t>课程设置及要求</w:t>
          </w:r>
          <w:r>
            <w:tab/>
          </w:r>
          <w:r>
            <w:fldChar w:fldCharType="begin"/>
          </w:r>
          <w:r>
            <w:instrText xml:space="preserve"> PAGEREF _Toc13220 \h </w:instrText>
          </w:r>
          <w:r>
            <w:fldChar w:fldCharType="separate"/>
          </w:r>
          <w:r>
            <w:t>7</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_Toc29687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一</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本专业公共基础课设置</w:t>
          </w:r>
          <w:r>
            <w:tab/>
          </w:r>
          <w:r>
            <w:fldChar w:fldCharType="begin"/>
          </w:r>
          <w:r>
            <w:instrText xml:space="preserve"> PAGEREF _Toc29687 \h </w:instrText>
          </w:r>
          <w:r>
            <w:fldChar w:fldCharType="separate"/>
          </w:r>
          <w:r>
            <w:t>7</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_Toc27140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二</w:t>
          </w:r>
          <w:r>
            <w:rPr>
              <w:rFonts w:hint="eastAsia" w:ascii="楷体_GB2312" w:hAnsi="楷体_GB2312" w:eastAsia="楷体_GB2312" w:cs="楷体_GB2312"/>
              <w:bCs/>
              <w:szCs w:val="28"/>
              <w:lang w:eastAsia="zh-CN"/>
            </w:rPr>
            <w:t>）专业（技能）课</w:t>
          </w:r>
          <w:r>
            <w:rPr>
              <w:rFonts w:hint="eastAsia" w:ascii="楷体_GB2312" w:hAnsi="楷体_GB2312" w:eastAsia="楷体_GB2312" w:cs="楷体_GB2312"/>
              <w:bCs/>
              <w:szCs w:val="28"/>
            </w:rPr>
            <w:t>设置</w:t>
          </w:r>
          <w:r>
            <w:tab/>
          </w:r>
          <w:r>
            <w:fldChar w:fldCharType="begin"/>
          </w:r>
          <w:r>
            <w:instrText xml:space="preserve"> PAGEREF _Toc27140 \h </w:instrText>
          </w:r>
          <w:r>
            <w:fldChar w:fldCharType="separate"/>
          </w:r>
          <w:r>
            <w:t>9</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_Toc16060 </w:instrText>
          </w:r>
          <w:r>
            <w:fldChar w:fldCharType="separate"/>
          </w:r>
          <w:r>
            <w:rPr>
              <w:rFonts w:hint="eastAsia" w:ascii="黑体" w:hAnsi="黑体" w:eastAsia="黑体" w:cs="黑体"/>
              <w:bCs/>
              <w:szCs w:val="30"/>
              <w:lang w:val="en-US" w:eastAsia="zh-CN"/>
            </w:rPr>
            <w:t>七、</w:t>
          </w:r>
          <w:r>
            <w:rPr>
              <w:rFonts w:hint="eastAsia" w:ascii="黑体" w:hAnsi="黑体" w:eastAsia="黑体" w:cs="黑体"/>
              <w:bCs/>
              <w:szCs w:val="30"/>
            </w:rPr>
            <w:t>教学进程总体安排</w:t>
          </w:r>
          <w:r>
            <w:tab/>
          </w:r>
          <w:r>
            <w:fldChar w:fldCharType="begin"/>
          </w:r>
          <w:r>
            <w:instrText xml:space="preserve"> PAGEREF _Toc16060 \h </w:instrText>
          </w:r>
          <w:r>
            <w:fldChar w:fldCharType="separate"/>
          </w:r>
          <w:r>
            <w:t>13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_Toc18477 </w:instrText>
          </w:r>
          <w:r>
            <w:fldChar w:fldCharType="separate"/>
          </w:r>
          <w:r>
            <w:rPr>
              <w:rFonts w:hint="eastAsia" w:ascii="楷体_GB2312" w:hAnsi="楷体_GB2312" w:eastAsia="楷体_GB2312" w:cs="楷体_GB2312"/>
              <w:bCs/>
              <w:szCs w:val="30"/>
              <w:lang w:eastAsia="zh-CN"/>
            </w:rPr>
            <w:t>（</w:t>
          </w:r>
          <w:r>
            <w:rPr>
              <w:rFonts w:hint="eastAsia" w:ascii="楷体_GB2312" w:hAnsi="楷体_GB2312" w:eastAsia="楷体_GB2312" w:cs="楷体_GB2312"/>
              <w:bCs/>
              <w:szCs w:val="30"/>
              <w:lang w:val="en-US" w:eastAsia="zh-CN"/>
            </w:rPr>
            <w:t>一</w:t>
          </w:r>
          <w:r>
            <w:rPr>
              <w:rFonts w:hint="eastAsia" w:ascii="楷体_GB2312" w:hAnsi="楷体_GB2312" w:eastAsia="楷体_GB2312" w:cs="楷体_GB2312"/>
              <w:bCs/>
              <w:szCs w:val="30"/>
              <w:lang w:eastAsia="zh-CN"/>
            </w:rPr>
            <w:t>）</w:t>
          </w:r>
          <w:r>
            <w:rPr>
              <w:rFonts w:hint="eastAsia" w:ascii="楷体_GB2312" w:hAnsi="楷体_GB2312" w:eastAsia="楷体_GB2312" w:cs="楷体_GB2312"/>
              <w:bCs/>
              <w:szCs w:val="30"/>
            </w:rPr>
            <w:t>教育教学时间安排表</w:t>
          </w:r>
          <w:r>
            <w:tab/>
          </w:r>
          <w:r>
            <w:fldChar w:fldCharType="begin"/>
          </w:r>
          <w:r>
            <w:instrText xml:space="preserve"> PAGEREF _Toc18477 \h </w:instrText>
          </w:r>
          <w:r>
            <w:fldChar w:fldCharType="separate"/>
          </w:r>
          <w:r>
            <w:t>13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_Toc20608 </w:instrText>
          </w:r>
          <w:r>
            <w:fldChar w:fldCharType="separate"/>
          </w:r>
          <w:r>
            <w:rPr>
              <w:rFonts w:hint="eastAsia" w:ascii="楷体_GB2312" w:hAnsi="楷体_GB2312" w:eastAsia="楷体_GB2312" w:cs="楷体_GB2312"/>
              <w:bCs/>
              <w:szCs w:val="30"/>
              <w:lang w:eastAsia="zh-CN"/>
            </w:rPr>
            <w:t>（</w:t>
          </w:r>
          <w:r>
            <w:rPr>
              <w:rFonts w:hint="eastAsia" w:ascii="楷体_GB2312" w:hAnsi="楷体_GB2312" w:eastAsia="楷体_GB2312" w:cs="楷体_GB2312"/>
              <w:bCs/>
              <w:szCs w:val="30"/>
              <w:lang w:val="en-US" w:eastAsia="zh-CN"/>
            </w:rPr>
            <w:t>二</w:t>
          </w:r>
          <w:r>
            <w:rPr>
              <w:rFonts w:hint="eastAsia" w:ascii="楷体_GB2312" w:hAnsi="楷体_GB2312" w:eastAsia="楷体_GB2312" w:cs="楷体_GB2312"/>
              <w:bCs/>
              <w:szCs w:val="30"/>
              <w:lang w:eastAsia="zh-CN"/>
            </w:rPr>
            <w:t>）理论与实践教学学时分配表</w:t>
          </w:r>
          <w:r>
            <w:tab/>
          </w:r>
          <w:r>
            <w:fldChar w:fldCharType="begin"/>
          </w:r>
          <w:r>
            <w:instrText xml:space="preserve"> PAGEREF _Toc20608 \h </w:instrText>
          </w:r>
          <w:r>
            <w:fldChar w:fldCharType="separate"/>
          </w:r>
          <w:r>
            <w:t>13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_Toc22338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三</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教学进度安排计划表----必修课程设置及学分、学时、进程表</w:t>
          </w:r>
          <w:r>
            <w:tab/>
          </w:r>
          <w:r>
            <w:fldChar w:fldCharType="begin"/>
          </w:r>
          <w:r>
            <w:instrText xml:space="preserve"> PAGEREF _Toc22338 \h </w:instrText>
          </w:r>
          <w:r>
            <w:fldChar w:fldCharType="separate"/>
          </w:r>
          <w:r>
            <w:t>14</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_Toc31424 </w:instrText>
          </w:r>
          <w:r>
            <w:fldChar w:fldCharType="separate"/>
          </w:r>
          <w:r>
            <w:rPr>
              <w:rFonts w:hint="eastAsia" w:ascii="黑体" w:hAnsi="黑体" w:eastAsia="黑体" w:cs="黑体"/>
              <w:bCs/>
              <w:szCs w:val="28"/>
              <w:lang w:val="en-US" w:eastAsia="zh-CN"/>
            </w:rPr>
            <w:t>八、</w:t>
          </w:r>
          <w:r>
            <w:rPr>
              <w:rFonts w:hint="eastAsia" w:ascii="黑体" w:hAnsi="黑体" w:eastAsia="黑体" w:cs="黑体"/>
              <w:bCs/>
              <w:szCs w:val="28"/>
            </w:rPr>
            <w:t>实施与保障</w:t>
          </w:r>
          <w:r>
            <w:tab/>
          </w:r>
          <w:r>
            <w:fldChar w:fldCharType="begin"/>
          </w:r>
          <w:r>
            <w:instrText xml:space="preserve"> PAGEREF _Toc31424 \h </w:instrText>
          </w:r>
          <w:r>
            <w:fldChar w:fldCharType="separate"/>
          </w:r>
          <w:r>
            <w:t>22</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_Toc25638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一</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师资队伍</w:t>
          </w:r>
          <w:r>
            <w:tab/>
          </w:r>
          <w:r>
            <w:fldChar w:fldCharType="begin"/>
          </w:r>
          <w:r>
            <w:instrText xml:space="preserve"> PAGEREF _Toc25638 \h </w:instrText>
          </w:r>
          <w:r>
            <w:fldChar w:fldCharType="separate"/>
          </w:r>
          <w:r>
            <w:t>22</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_Toc31426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二</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教学设施</w:t>
          </w:r>
          <w:r>
            <w:tab/>
          </w:r>
          <w:r>
            <w:fldChar w:fldCharType="begin"/>
          </w:r>
          <w:r>
            <w:instrText xml:space="preserve"> PAGEREF _Toc31426 \h </w:instrText>
          </w:r>
          <w:r>
            <w:fldChar w:fldCharType="separate"/>
          </w:r>
          <w:r>
            <w:t>22</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_Toc4916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三</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教学资源</w:t>
          </w:r>
          <w:r>
            <w:tab/>
          </w:r>
          <w:r>
            <w:fldChar w:fldCharType="begin"/>
          </w:r>
          <w:r>
            <w:instrText xml:space="preserve"> PAGEREF _Toc4916 \h </w:instrText>
          </w:r>
          <w:r>
            <w:fldChar w:fldCharType="separate"/>
          </w:r>
          <w:r>
            <w:t>23</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_Toc30455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四</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教学方法</w:t>
          </w:r>
          <w:r>
            <w:tab/>
          </w:r>
          <w:r>
            <w:fldChar w:fldCharType="begin"/>
          </w:r>
          <w:r>
            <w:instrText xml:space="preserve"> PAGEREF _Toc30455 \h </w:instrText>
          </w:r>
          <w:r>
            <w:fldChar w:fldCharType="separate"/>
          </w:r>
          <w:r>
            <w:t>24</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_Toc16020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五</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学习评价</w:t>
          </w:r>
          <w:r>
            <w:tab/>
          </w:r>
          <w:r>
            <w:fldChar w:fldCharType="begin"/>
          </w:r>
          <w:r>
            <w:instrText xml:space="preserve"> PAGEREF _Toc16020 \h </w:instrText>
          </w:r>
          <w:r>
            <w:fldChar w:fldCharType="separate"/>
          </w:r>
          <w:r>
            <w:t>24</w:t>
          </w:r>
          <w:r>
            <w:fldChar w:fldCharType="end"/>
          </w:r>
          <w:r>
            <w:rPr>
              <w:color w:val="000000" w:themeColor="text1"/>
              <w14:textFill>
                <w14:solidFill>
                  <w14:schemeClr w14:val="tx1"/>
                </w14:solidFill>
              </w14:textFill>
            </w:rPr>
            <w:fldChar w:fldCharType="end"/>
          </w:r>
        </w:p>
        <w:p>
          <w:pPr>
            <w:pStyle w:val="21"/>
            <w:tabs>
              <w:tab w:val="right" w:leader="dot" w:pos="8845"/>
            </w:tabs>
          </w:pPr>
          <w:r>
            <w:rPr>
              <w:color w:val="000000" w:themeColor="text1"/>
              <w14:textFill>
                <w14:solidFill>
                  <w14:schemeClr w14:val="tx1"/>
                </w14:solidFill>
              </w14:textFill>
            </w:rPr>
            <w:fldChar w:fldCharType="begin"/>
          </w:r>
          <w:r>
            <w:instrText xml:space="preserve"> HYPERLINK \l _Toc24701 </w:instrText>
          </w:r>
          <w: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六</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质量管理</w:t>
          </w:r>
          <w:r>
            <w:tab/>
          </w:r>
          <w:r>
            <w:fldChar w:fldCharType="begin"/>
          </w:r>
          <w:r>
            <w:instrText xml:space="preserve"> PAGEREF _Toc24701 \h </w:instrText>
          </w:r>
          <w:r>
            <w:fldChar w:fldCharType="separate"/>
          </w:r>
          <w:r>
            <w:t>24</w:t>
          </w:r>
          <w:r>
            <w:fldChar w:fldCharType="end"/>
          </w:r>
          <w:r>
            <w:rPr>
              <w:color w:val="000000" w:themeColor="text1"/>
              <w14:textFill>
                <w14:solidFill>
                  <w14:schemeClr w14:val="tx1"/>
                </w14:solidFill>
              </w14:textFill>
            </w:rPr>
            <w:fldChar w:fldCharType="end"/>
          </w:r>
        </w:p>
        <w:p>
          <w:pPr>
            <w:pStyle w:val="17"/>
            <w:tabs>
              <w:tab w:val="right" w:leader="dot" w:pos="8845"/>
            </w:tabs>
          </w:pPr>
          <w:r>
            <w:rPr>
              <w:color w:val="000000" w:themeColor="text1"/>
              <w14:textFill>
                <w14:solidFill>
                  <w14:schemeClr w14:val="tx1"/>
                </w14:solidFill>
              </w14:textFill>
            </w:rPr>
            <w:fldChar w:fldCharType="begin"/>
          </w:r>
          <w:r>
            <w:instrText xml:space="preserve"> HYPERLINK \l _Toc23606 </w:instrText>
          </w:r>
          <w:r>
            <w:fldChar w:fldCharType="separate"/>
          </w:r>
          <w:r>
            <w:rPr>
              <w:rFonts w:hint="eastAsia" w:ascii="黑体" w:hAnsi="黑体" w:eastAsia="黑体" w:cs="黑体"/>
              <w:bCs/>
              <w:szCs w:val="28"/>
              <w:lang w:val="en-US" w:eastAsia="zh-CN"/>
            </w:rPr>
            <w:t>九、</w:t>
          </w:r>
          <w:r>
            <w:rPr>
              <w:rFonts w:hint="eastAsia" w:ascii="黑体" w:hAnsi="黑体" w:eastAsia="黑体" w:cs="黑体"/>
              <w:bCs/>
              <w:szCs w:val="28"/>
            </w:rPr>
            <w:t>毕业生要求</w:t>
          </w:r>
          <w:r>
            <w:tab/>
          </w:r>
          <w:r>
            <w:fldChar w:fldCharType="begin"/>
          </w:r>
          <w:r>
            <w:instrText xml:space="preserve"> PAGEREF _Toc23606 \h </w:instrText>
          </w:r>
          <w:r>
            <w:fldChar w:fldCharType="separate"/>
          </w:r>
          <w:r>
            <w:t>26</w:t>
          </w:r>
          <w: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eastAsia="zh-CN"/>
          <w14:textFill>
            <w14:solidFill>
              <w14:schemeClr w14:val="tx1"/>
            </w14:solidFill>
          </w14:textFill>
        </w:rPr>
      </w:pPr>
      <w:bookmarkStart w:id="0" w:name="_Toc30087"/>
      <w:r>
        <w:rPr>
          <w:rFonts w:hint="eastAsia" w:ascii="黑体" w:hAnsi="黑体" w:eastAsia="黑体" w:cs="黑体"/>
          <w:b w:val="0"/>
          <w:bCs/>
          <w:color w:val="000000" w:themeColor="text1"/>
          <w:sz w:val="28"/>
          <w:szCs w:val="28"/>
          <w:lang w:val="en-US" w:eastAsia="zh-CN"/>
          <w14:textFill>
            <w14:solidFill>
              <w14:schemeClr w14:val="tx1"/>
            </w14:solidFill>
          </w14:textFill>
        </w:rPr>
        <w:t>一、</w:t>
      </w:r>
      <w:r>
        <w:rPr>
          <w:rFonts w:hint="eastAsia" w:ascii="黑体" w:hAnsi="黑体" w:eastAsia="黑体" w:cs="黑体"/>
          <w:b w:val="0"/>
          <w:bCs/>
          <w:color w:val="000000" w:themeColor="text1"/>
          <w:sz w:val="28"/>
          <w:szCs w:val="28"/>
          <w14:textFill>
            <w14:solidFill>
              <w14:schemeClr w14:val="tx1"/>
            </w14:solidFill>
          </w14:textFill>
        </w:rPr>
        <w:t>专业名称</w:t>
      </w:r>
      <w:r>
        <w:rPr>
          <w:rFonts w:hint="eastAsia" w:ascii="黑体" w:hAnsi="黑体" w:eastAsia="黑体" w:cs="黑体"/>
          <w:b w:val="0"/>
          <w:bCs/>
          <w:color w:val="000000" w:themeColor="text1"/>
          <w:sz w:val="28"/>
          <w:szCs w:val="28"/>
          <w:lang w:eastAsia="zh-CN"/>
          <w14:textFill>
            <w14:solidFill>
              <w14:schemeClr w14:val="tx1"/>
            </w14:solidFill>
          </w14:textFill>
        </w:rPr>
        <w:t>（</w:t>
      </w:r>
      <w:r>
        <w:rPr>
          <w:rFonts w:hint="eastAsia" w:ascii="黑体" w:hAnsi="黑体" w:eastAsia="黑体" w:cs="黑体"/>
          <w:b w:val="0"/>
          <w:bCs/>
          <w:color w:val="000000" w:themeColor="text1"/>
          <w:sz w:val="28"/>
          <w:szCs w:val="28"/>
          <w:lang w:val="en-US" w:eastAsia="zh-CN"/>
          <w14:textFill>
            <w14:solidFill>
              <w14:schemeClr w14:val="tx1"/>
            </w14:solidFill>
          </w14:textFill>
        </w:rPr>
        <w:t>专业代码</w:t>
      </w:r>
      <w:r>
        <w:rPr>
          <w:rFonts w:hint="eastAsia" w:ascii="黑体" w:hAnsi="黑体" w:eastAsia="黑体" w:cs="黑体"/>
          <w:b w:val="0"/>
          <w:bCs/>
          <w:color w:val="000000" w:themeColor="text1"/>
          <w:sz w:val="28"/>
          <w:szCs w:val="28"/>
          <w:lang w:eastAsia="zh-CN"/>
          <w14:textFill>
            <w14:solidFill>
              <w14:schemeClr w14:val="tx1"/>
            </w14:solidFill>
          </w14:textFill>
        </w:rPr>
        <w:t>）</w:t>
      </w:r>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专业名称：绿色食品生产技术</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专业代码：</w:t>
      </w:r>
      <w:r>
        <w:rPr>
          <w:rFonts w:hint="eastAsia" w:ascii="Times New Roman" w:eastAsia="Times New Roman"/>
        </w:rPr>
        <w:t>410115</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 w:name="_Toc10415"/>
      <w:r>
        <w:rPr>
          <w:rFonts w:hint="eastAsia" w:ascii="黑体" w:hAnsi="黑体" w:eastAsia="黑体" w:cs="黑体"/>
          <w:b w:val="0"/>
          <w:bCs/>
          <w:color w:val="000000" w:themeColor="text1"/>
          <w:sz w:val="28"/>
          <w:szCs w:val="28"/>
          <w:lang w:val="en-US" w:eastAsia="zh-CN"/>
          <w14:textFill>
            <w14:solidFill>
              <w14:schemeClr w14:val="tx1"/>
            </w14:solidFill>
          </w14:textFill>
        </w:rPr>
        <w:t>二、入学要求</w:t>
      </w:r>
      <w:bookmarkEnd w:id="1"/>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高中阶段教育毕业生/具有同等学力者。</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2" w:name="_Toc20397"/>
      <w:r>
        <w:rPr>
          <w:rFonts w:hint="eastAsia" w:ascii="黑体" w:hAnsi="黑体" w:eastAsia="黑体" w:cs="黑体"/>
          <w:b w:val="0"/>
          <w:bCs/>
          <w:color w:val="000000" w:themeColor="text1"/>
          <w:sz w:val="28"/>
          <w:szCs w:val="28"/>
          <w:lang w:val="en-US" w:eastAsia="zh-CN"/>
          <w14:textFill>
            <w14:solidFill>
              <w14:schemeClr w14:val="tx1"/>
            </w14:solidFill>
          </w14:textFill>
        </w:rPr>
        <w:t>三、修业年限及学历</w:t>
      </w:r>
      <w:bookmarkEnd w:id="2"/>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基本学制3年，专科。</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3" w:name="_Toc27009"/>
      <w:r>
        <w:rPr>
          <w:rFonts w:hint="eastAsia" w:ascii="黑体" w:hAnsi="黑体" w:eastAsia="黑体" w:cs="黑体"/>
          <w:b w:val="0"/>
          <w:bCs/>
          <w:color w:val="000000" w:themeColor="text1"/>
          <w:sz w:val="28"/>
          <w:szCs w:val="28"/>
          <w:lang w:val="en-US" w:eastAsia="zh-CN"/>
          <w14:textFill>
            <w14:solidFill>
              <w14:schemeClr w14:val="tx1"/>
            </w14:solidFill>
          </w14:textFill>
        </w:rPr>
        <w:t>四、职业面向</w:t>
      </w:r>
      <w:bookmarkEnd w:id="3"/>
      <w:bookmarkStart w:id="4" w:name="_Toc38299245"/>
      <w:bookmarkStart w:id="5" w:name="_Toc38201832"/>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1"/>
        <w:rPr>
          <w:rFonts w:hint="eastAsia" w:ascii="楷体_GB2312" w:hAnsi="楷体_GB2312" w:eastAsia="楷体_GB2312" w:cs="楷体_GB2312"/>
          <w:color w:val="000000" w:themeColor="text1"/>
          <w:sz w:val="28"/>
          <w:szCs w:val="28"/>
          <w14:textFill>
            <w14:solidFill>
              <w14:schemeClr w14:val="tx1"/>
            </w14:solidFill>
          </w14:textFill>
        </w:rPr>
      </w:pPr>
      <w:bookmarkStart w:id="6" w:name="_Toc16142"/>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一</w:t>
      </w:r>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14:textFill>
            <w14:solidFill>
              <w14:schemeClr w14:val="tx1"/>
            </w14:solidFill>
          </w14:textFill>
        </w:rPr>
        <w:t>本专业职业面向</w:t>
      </w:r>
      <w:bookmarkEnd w:id="4"/>
      <w:bookmarkEnd w:id="5"/>
      <w:r>
        <w:rPr>
          <w:rFonts w:hint="eastAsia" w:ascii="楷体_GB2312" w:hAnsi="楷体_GB2312" w:eastAsia="楷体_GB2312" w:cs="楷体_GB2312"/>
          <w:color w:val="FF0000"/>
          <w:sz w:val="28"/>
          <w:szCs w:val="28"/>
        </w:rPr>
        <w:t>（参照专业教学标准填写）</w:t>
      </w:r>
      <w:bookmarkEnd w:id="6"/>
    </w:p>
    <w:tbl>
      <w:tblPr>
        <w:tblStyle w:val="27"/>
        <w:tblpPr w:leftFromText="180" w:rightFromText="180" w:vertAnchor="text" w:horzAnchor="page" w:tblpX="1838" w:tblpY="350"/>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90"/>
        <w:gridCol w:w="1512"/>
        <w:gridCol w:w="22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sz w:val="21"/>
                <w:szCs w:val="21"/>
                <w14:textFill>
                  <w14:solidFill>
                    <w14:schemeClr w14:val="tx1"/>
                  </w14:solidFill>
                </w14:textFill>
              </w:rPr>
            </w:pPr>
            <w:bookmarkStart w:id="7" w:name="_Toc9981"/>
            <w:bookmarkStart w:id="8" w:name="_Toc38201833"/>
            <w:bookmarkStart w:id="9" w:name="_Toc38299246"/>
            <w:r>
              <w:rPr>
                <w:rFonts w:hint="eastAsia" w:ascii="宋体" w:hAnsi="宋体" w:eastAsia="宋体" w:cs="宋体"/>
                <w:b/>
                <w:color w:val="000000" w:themeColor="text1"/>
                <w:kern w:val="0"/>
                <w:sz w:val="21"/>
                <w:szCs w:val="21"/>
                <w14:textFill>
                  <w14:solidFill>
                    <w14:schemeClr w14:val="tx1"/>
                  </w14:solidFill>
                </w14:textFill>
              </w:rPr>
              <w:t>所属专业大类（代码）</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所属专业类</w:t>
            </w:r>
          </w:p>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（代码）</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对应行业</w:t>
            </w:r>
          </w:p>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（代码）</w:t>
            </w:r>
          </w:p>
        </w:tc>
        <w:tc>
          <w:tcPr>
            <w:tcW w:w="2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主要职业类别</w:t>
            </w:r>
          </w:p>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（代码）</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7"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农林牧渔类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（51）</w:t>
            </w:r>
          </w:p>
        </w:tc>
        <w:tc>
          <w:tcPr>
            <w:tcW w:w="1390"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农业类</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（5101）</w:t>
            </w:r>
          </w:p>
        </w:tc>
        <w:tc>
          <w:tcPr>
            <w:tcW w:w="1512"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农副食品加工业(13)； 食品制造业(14)；</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饮料制造业(C-15)；</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质检技术服务业</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(745)</w:t>
            </w:r>
          </w:p>
        </w:tc>
        <w:tc>
          <w:tcPr>
            <w:tcW w:w="2238"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肉制品加工工(6 -01</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-04-03)；</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蛋类制品加工工(6 - 01-04-04)；</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果蔬坚果加工工(6 - 01-06-00)；</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糕点、包烘焙工(6-02-01-01)；</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乳品加工工(6-02- 04-01)；</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饮料制作工(6-02</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-06-09)；</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食品工程技术人员(2-02-24-00)</w:t>
            </w:r>
          </w:p>
        </w:tc>
        <w:tc>
          <w:tcPr>
            <w:tcW w:w="2065"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 xml:space="preserve">肉制品加工； </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 xml:space="preserve">蛋制品加工； </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果蔬坚果加工； 乳品加工；</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饮料制作；</w:t>
            </w:r>
          </w:p>
          <w:p>
            <w:pPr>
              <w:pStyle w:val="61"/>
              <w:keepNext w:val="0"/>
              <w:keepLines w:val="0"/>
              <w:suppressLineNumbers w:val="0"/>
              <w:spacing w:before="1" w:beforeAutospacing="0" w:after="0" w:afterAutospacing="0"/>
              <w:ind w:left="91" w:right="85"/>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 xml:space="preserve"> 食品研发、生产技术指导与管理等</w:t>
            </w:r>
          </w:p>
        </w:tc>
      </w:tr>
    </w:tbl>
    <w:p>
      <w:pPr>
        <w:keepNext w:val="0"/>
        <w:keepLines w:val="0"/>
        <w:pageBreakBefore w:val="0"/>
        <w:widowControl w:val="0"/>
        <w:numPr>
          <w:ilvl w:val="0"/>
          <w:numId w:val="0"/>
        </w:numPr>
        <w:kinsoku/>
        <w:wordWrap w:val="0"/>
        <w:overflowPunct/>
        <w:topLinePunct w:val="0"/>
        <w:autoSpaceDE/>
        <w:autoSpaceDN/>
        <w:bidi w:val="0"/>
        <w:adjustRightInd/>
        <w:spacing w:line="560" w:lineRule="exact"/>
        <w:jc w:val="left"/>
        <w:textAlignment w:val="auto"/>
        <w:outlineLvl w:val="1"/>
        <w:rPr>
          <w:rFonts w:hint="eastAsia" w:ascii="楷体_GB2312" w:hAnsi="楷体_GB2312" w:eastAsia="楷体_GB2312" w:cs="楷体_GB2312"/>
          <w:color w:val="000000" w:themeColor="text1"/>
          <w:sz w:val="28"/>
          <w:szCs w:val="28"/>
          <w:lang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1"/>
        <w:rPr>
          <w:rFonts w:hint="eastAsia" w:ascii="楷体_GB2312" w:hAnsi="楷体_GB2312" w:eastAsia="楷体_GB2312" w:cs="楷体_GB2312"/>
          <w:color w:val="000000" w:themeColor="text1"/>
          <w:sz w:val="28"/>
          <w:szCs w:val="28"/>
          <w:lang w:eastAsia="zh-CN"/>
          <w14:textFill>
            <w14:solidFill>
              <w14:schemeClr w14:val="tx1"/>
            </w14:solidFill>
          </w14:textFill>
        </w:rPr>
      </w:pPr>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二</w:t>
      </w:r>
      <w:r>
        <w:rPr>
          <w:rFonts w:hint="eastAsia" w:ascii="楷体_GB2312" w:hAnsi="楷体_GB2312" w:eastAsia="楷体_GB2312" w:cs="楷体_GB2312"/>
          <w:color w:val="000000" w:themeColor="text1"/>
          <w:sz w:val="28"/>
          <w:szCs w:val="28"/>
          <w:lang w:eastAsia="zh-CN"/>
          <w14:textFill>
            <w14:solidFill>
              <w14:schemeClr w14:val="tx1"/>
            </w14:solidFill>
          </w14:textFill>
        </w:rPr>
        <w:t>）职业等级证书、行业企业标准和证书</w:t>
      </w:r>
      <w:bookmarkEnd w:id="7"/>
      <w:bookmarkEnd w:id="8"/>
      <w:bookmarkEnd w:id="9"/>
    </w:p>
    <w:p>
      <w:pPr>
        <w:pStyle w:val="82"/>
        <w:keepNext w:val="0"/>
        <w:keepLines w:val="0"/>
        <w:pageBreakBefore w:val="0"/>
        <w:widowControl w:val="0"/>
        <w:kinsoku/>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10" w:name="_Toc9012"/>
      <w:bookmarkStart w:id="11" w:name="_Toc93"/>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1.通用证书</w:t>
      </w:r>
      <w:bookmarkEnd w:id="10"/>
      <w:bookmarkEnd w:id="11"/>
    </w:p>
    <w:tbl>
      <w:tblPr>
        <w:tblStyle w:val="27"/>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2190"/>
        <w:gridCol w:w="3762"/>
        <w:gridCol w:w="94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序号</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考核项目</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考核发证部门</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等级</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exac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全国英语等级考试</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教育部考试中心</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级</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exac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普通话</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国家语言文字委员会</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三甲</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exac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全国计算机等级考试</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教育部考试中心</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级</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Style w:val="82"/>
        <w:ind w:firstLine="560" w:firstLineChars="200"/>
        <w:outlineLvl w:val="9"/>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12" w:name="_Toc8164"/>
      <w:bookmarkStart w:id="13" w:name="_Toc32008"/>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2.本专业职业资格证书</w:t>
      </w:r>
      <w:bookmarkEnd w:id="12"/>
      <w:bookmarkEnd w:id="13"/>
      <w:r>
        <w:rPr>
          <w:rFonts w:hint="eastAsia" w:ascii="仿宋_GB2312" w:hAnsi="仿宋_GB2312" w:eastAsia="仿宋_GB2312" w:cs="仿宋_GB2312"/>
          <w:b w:val="0"/>
          <w:color w:val="FF0000"/>
          <w:kern w:val="2"/>
          <w:sz w:val="28"/>
          <w:szCs w:val="28"/>
          <w:lang w:val="en-US" w:eastAsia="zh-CN" w:bidi="ar-SA"/>
        </w:rPr>
        <w:t>（包括1+X证书）</w:t>
      </w:r>
    </w:p>
    <w:tbl>
      <w:tblPr>
        <w:tblStyle w:val="27"/>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16"/>
        <w:gridCol w:w="3234"/>
        <w:gridCol w:w="154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105" w:leftChars="50" w:right="0"/>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考核项目</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考核发证部门</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等级</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46"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农产品食品检验员</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农业、粮食行业技能鉴定机构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cs="宋体" w:eastAsiaTheme="minorEastAsia"/>
                <w:color w:val="000000" w:themeColor="text1"/>
                <w:sz w:val="21"/>
                <w:szCs w:val="21"/>
                <w:lang w:eastAsia="zh-CN"/>
                <w14:textFill>
                  <w14:solidFill>
                    <w14:schemeClr w14:val="tx1"/>
                  </w14:solidFill>
                </w14:textFill>
              </w:rPr>
            </w:pPr>
            <w:r>
              <w:rPr>
                <w:rFonts w:hint="eastAsia" w:ascii="宋体" w:hAnsi="宋体"/>
                <w:sz w:val="24"/>
                <w:lang w:eastAsia="zh-CN"/>
              </w:rPr>
              <w:t>初级或</w:t>
            </w:r>
            <w:r>
              <w:rPr>
                <w:rFonts w:hint="eastAsia" w:ascii="宋体" w:hAnsi="宋体"/>
                <w:sz w:val="24"/>
              </w:rPr>
              <w:t>中</w:t>
            </w:r>
            <w:r>
              <w:rPr>
                <w:rFonts w:hint="eastAsia" w:ascii="宋体" w:hAnsi="宋体"/>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食品安全管理（质量管理）体系内部审核员</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eastAsia="zh-CN"/>
              </w:rPr>
              <w:t>初级或</w:t>
            </w:r>
            <w:r>
              <w:rPr>
                <w:rFonts w:hint="eastAsia" w:ascii="宋体" w:hAnsi="宋体"/>
                <w:sz w:val="24"/>
              </w:rPr>
              <w:t>中</w:t>
            </w:r>
            <w:r>
              <w:rPr>
                <w:rFonts w:hint="eastAsia" w:ascii="宋体" w:hAnsi="宋体"/>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val="en-US" w:eastAsia="zh-CN"/>
              </w:rPr>
              <w:t>食品合规管理职业技能等级证书</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eastAsia="zh-CN"/>
              </w:rPr>
              <w:t>初级或</w:t>
            </w:r>
            <w:r>
              <w:rPr>
                <w:rFonts w:hint="eastAsia" w:ascii="宋体" w:hAnsi="宋体"/>
                <w:sz w:val="24"/>
              </w:rPr>
              <w:t>中</w:t>
            </w:r>
            <w:r>
              <w:rPr>
                <w:rFonts w:hint="eastAsia" w:ascii="宋体" w:hAnsi="宋体"/>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eastAsia="zh-CN"/>
              </w:rPr>
              <w:t>可食食品快速检验员</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eastAsia="zh-CN"/>
              </w:rPr>
              <w:t>初级或</w:t>
            </w:r>
            <w:r>
              <w:rPr>
                <w:rFonts w:hint="eastAsia" w:ascii="宋体" w:hAnsi="宋体"/>
                <w:sz w:val="24"/>
              </w:rPr>
              <w:t>中</w:t>
            </w:r>
            <w:r>
              <w:rPr>
                <w:rFonts w:hint="eastAsia" w:ascii="宋体" w:hAnsi="宋体"/>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乳品评鉴师</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eastAsia="zh-CN"/>
              </w:rPr>
              <w:t>初级或</w:t>
            </w:r>
            <w:r>
              <w:rPr>
                <w:rFonts w:hint="eastAsia" w:ascii="宋体" w:hAnsi="宋体"/>
                <w:sz w:val="24"/>
              </w:rPr>
              <w:t>中</w:t>
            </w:r>
            <w:r>
              <w:rPr>
                <w:rFonts w:hint="eastAsia" w:ascii="宋体" w:hAnsi="宋体"/>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宋体" w:hAnsi="宋体"/>
                <w:sz w:val="24"/>
              </w:rPr>
            </w:pPr>
            <w:r>
              <w:rPr>
                <w:rFonts w:hint="eastAsia" w:ascii="宋体" w:hAnsi="宋体"/>
                <w:sz w:val="24"/>
              </w:rPr>
              <w:t>酿酒师、白酒酿造工、酒精酿造工</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sz w:val="24"/>
              </w:rPr>
            </w:pPr>
            <w:r>
              <w:rPr>
                <w:rFonts w:hint="eastAsia" w:ascii="宋体" w:hAnsi="宋体"/>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lang w:eastAsia="zh-CN"/>
              </w:rPr>
              <w:t>初级或</w:t>
            </w:r>
            <w:r>
              <w:rPr>
                <w:rFonts w:hint="eastAsia" w:ascii="宋体" w:hAnsi="宋体"/>
                <w:sz w:val="24"/>
              </w:rPr>
              <w:t>中</w:t>
            </w:r>
            <w:r>
              <w:rPr>
                <w:rFonts w:hint="eastAsia" w:ascii="宋体" w:hAnsi="宋体"/>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pPr>
        <w:snapToGrid w:val="0"/>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（说明：学生毕业应至少获得一种通用证书和</w:t>
      </w:r>
      <w:r>
        <w:rPr>
          <w:rFonts w:hint="eastAsia" w:ascii="仿宋_GB2312" w:hAnsi="仿宋_GB2312" w:eastAsia="仿宋_GB2312" w:cs="仿宋_GB2312"/>
          <w:color w:val="000000" w:themeColor="text1"/>
          <w:sz w:val="24"/>
          <w:szCs w:val="24"/>
          <w:lang w:eastAsia="zh-CN"/>
          <w14:textFill>
            <w14:solidFill>
              <w14:schemeClr w14:val="tx1"/>
            </w14:solidFill>
          </w14:textFill>
        </w:rPr>
        <w:t>一种</w:t>
      </w:r>
      <w:r>
        <w:rPr>
          <w:rFonts w:hint="eastAsia" w:ascii="仿宋_GB2312" w:hAnsi="仿宋_GB2312" w:eastAsia="仿宋_GB2312" w:cs="仿宋_GB2312"/>
          <w:color w:val="000000" w:themeColor="text1"/>
          <w:sz w:val="24"/>
          <w:szCs w:val="24"/>
          <w14:textFill>
            <w14:solidFill>
              <w14:schemeClr w14:val="tx1"/>
            </w14:solidFill>
          </w14:textFill>
        </w:rPr>
        <w:t>专业职业资格证书。）</w: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1"/>
        <w:rPr>
          <w:rFonts w:hint="default" w:ascii="楷体_GB2312" w:hAnsi="楷体_GB2312" w:eastAsia="楷体_GB2312" w:cs="楷体_GB2312"/>
          <w:color w:val="000000" w:themeColor="text1"/>
          <w:sz w:val="28"/>
          <w:szCs w:val="28"/>
          <w:lang w:val="en-US" w:eastAsia="zh-CN"/>
          <w14:textFill>
            <w14:solidFill>
              <w14:schemeClr w14:val="tx1"/>
            </w14:solidFill>
          </w14:textFill>
        </w:rPr>
      </w:pPr>
      <w:bookmarkStart w:id="14" w:name="_Toc24781"/>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三</w:t>
      </w:r>
      <w:r>
        <w:rPr>
          <w:rFonts w:hint="eastAsia" w:ascii="楷体_GB2312" w:hAnsi="楷体_GB2312" w:eastAsia="楷体_GB2312" w:cs="楷体_GB2312"/>
          <w:color w:val="000000" w:themeColor="text1"/>
          <w:sz w:val="28"/>
          <w:szCs w:val="28"/>
          <w:lang w:eastAsia="zh-CN"/>
          <w14:textFill>
            <w14:solidFill>
              <w14:schemeClr w14:val="tx1"/>
            </w14:solidFill>
          </w14:textFill>
        </w:rPr>
        <w:t>）职业</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生涯发展路径</w:t>
      </w:r>
      <w:bookmarkEnd w:id="14"/>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4375785</wp:posOffset>
                </wp:positionH>
                <wp:positionV relativeFrom="paragraph">
                  <wp:posOffset>161290</wp:posOffset>
                </wp:positionV>
                <wp:extent cx="1282065" cy="1224915"/>
                <wp:effectExtent l="6350" t="6350" r="6985" b="6985"/>
                <wp:wrapNone/>
                <wp:docPr id="16" name="矩形 16"/>
                <wp:cNvGraphicFramePr/>
                <a:graphic xmlns:a="http://schemas.openxmlformats.org/drawingml/2006/main">
                  <a:graphicData uri="http://schemas.microsoft.com/office/word/2010/wordprocessingShape">
                    <wps:wsp>
                      <wps:cNvSpPr/>
                      <wps:spPr>
                        <a:xfrm>
                          <a:off x="0" y="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发展岗位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（工程师）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（管理者）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55pt;margin-top:12.7pt;height:96.45pt;width:100.95pt;z-index:251663360;v-text-anchor:middle;mso-width-relative:page;mso-height-relative:page;" filled="f" stroked="t" coordsize="21600,21600" o:gfxdata="UEsDBAoAAAAAAIdO4kAAAAAAAAAAAAAAAAAEAAAAZHJzL1BLAwQUAAAACACHTuJAa76dOdgAAAAK&#10;AQAADwAAAGRycy9kb3ducmV2LnhtbE2PwU7DMBBE70j8g7VI3Kid0lRpiNNDEAcEEqJw6c1NliQQ&#10;ryPbScrfs5zgOLNPszPF/mwHMaMPvSMNyUqBQKpd01Or4f3t4SYDEaKhxgyOUMM3BtiXlxeFyRu3&#10;0CvOh9gKDqGQGw1djGMuZag7tCas3IjEtw/nrYksfSsbbxYOt4NcK7WV1vTEHzozYtVh/XWYrIZj&#10;+ilf+mox0/Pj/VM6e6eqjdP6+ipRdyAinuMfDL/1uTqU3OnkJmqCGDRss13CqIZ1ugHBAGsed2Ij&#10;yW5BloX8P6H8AVBLAwQUAAAACACHTuJALigMVGQCAADCBAAADgAAAGRycy9lMm9Eb2MueG1srVTN&#10;bhMxEL4j8Q6W73Szq/QvalJFjYqQKlqpIM6O185asj1m7GRTXgaJGw/B4yBeg7F3+0Ph0AM5OGPP&#10;+LO/z9/s2fneWbZTGA34Oa8PJpwpL6E1fjPnHz9cvjnhLCbhW2HBqzm/U5GfL16/OuvDTDXQgW0V&#10;MgLxcdaHOe9SCrOqirJTTsQDCMpTUgM6kWiKm6pF0RO6s1UzmRxVPWAbEKSKkVZXQ5KPiPgSQNDa&#10;SLUCuXXKpwEVlRWJKMXOhMgX5bZaK5mutY4qMTvnxDSVkQ6heJ3HanEmZhsUoTNyvIJ4yRWecXLC&#10;eDr0AWolkmBbNH9BOSMRIuh0IMFVA5GiCLGoJ8+0ue1EUIULSR3Dg+jx/8HK97sbZKYlJxxx5oWj&#10;F//19fvPH98YLZA6fYgzKroNNzjOIoWZ6l6jy/9Egu2LoncPiqp9YpIW6+akmRwdciYpVzfN9LQ+&#10;zKjV4/aAMb1V4FgO5hzpyYqSYncV01B6X5JP83BprKV1MbOe9Rn1eEKvKQV5UZMHKHSB+ES/4UzY&#10;DZlcJiyQEaxp8/a8O+JmfWGR7US2RvmNN/ujLJ+9ErEb6kpqLLOeeGR5BkFylPbr/ajSGto7UhZh&#10;sFwM8tIQ1JWI6UYgeYzuTF2YrmnQFogIjBFnHeCXf63nenp6ynLWk2eJ5OetQMWZfefJFKf1dJpN&#10;XibTw+OGJvg0s36a8Vt3AcS9pn4PsoS5Ptn7UCO4T9Ssy3wqpYSXdPYg5zi5SEMvUbtLtVyWMjJ2&#10;EOnK3waZwYdHW24TaFPeMws1qDPqR9YujhjbMPfO03mpevz0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76dOdgAAAAKAQAADwAAAAAAAAABACAAAAAiAAAAZHJzL2Rvd25yZXYueG1sUEsBAhQA&#10;FAAAAAgAh07iQC4oDFRkAgAAwgQAAA4AAAAAAAAAAQAgAAAAJwEAAGRycy9lMm9Eb2MueG1sUEsF&#10;BgAAAAAGAAYAWQEAAP0FA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发展岗位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（工程师）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（管理者）</w:t>
                      </w: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161290</wp:posOffset>
                </wp:positionV>
                <wp:extent cx="1282065" cy="1215390"/>
                <wp:effectExtent l="6350" t="6350" r="6985" b="16510"/>
                <wp:wrapNone/>
                <wp:docPr id="15" name="矩形 15"/>
                <wp:cNvGraphicFramePr/>
                <a:graphic xmlns:a="http://schemas.openxmlformats.org/drawingml/2006/main">
                  <a:graphicData uri="http://schemas.microsoft.com/office/word/2010/wordprocessingShape">
                    <wps:wsp>
                      <wps:cNvSpPr/>
                      <wps:spPr>
                        <a:xfrm>
                          <a:off x="0" y="0"/>
                          <a:ext cx="1282065" cy="121539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目标岗位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（车间主任）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（品管主任）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（生产经理）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85pt;margin-top:12.7pt;height:95.7pt;width:100.95pt;z-index:251661312;v-text-anchor:middle;mso-width-relative:page;mso-height-relative:page;" filled="f" stroked="t" coordsize="21600,21600" o:gfxdata="UEsDBAoAAAAAAIdO4kAAAAAAAAAAAAAAAAAEAAAAZHJzL1BLAwQUAAAACACHTuJARpgoftkAAAAK&#10;AQAADwAAAGRycy9kb3ducmV2LnhtbE2PsU7DMBCGdyTewTokNmqnbZIqjdMhiAGBhCgs3dz4SAKx&#10;HdlOUt6eY4Lx7j799/3l4WIGNqMPvbMSkpUAhrZxurethPe3h7sdsBCV1WpwFiV8Y4BDdX1VqkK7&#10;xb7ifIwtoxAbCiWhi3EsOA9Nh0aFlRvR0u3DeaMijb7l2quFws3A10Jk3Kje0odOjVh32HwdJyPh&#10;lH7yl75e1PT8eP+Uzt6JeuukvL1JxB5YxEv8g+FXn9ShIqezm6wObJCwyZOcUAnrdAuMgDTfZMDO&#10;tEiyHfCq5P8rVD9QSwMEFAAAAAgAh07iQPYtvwBjAgAAwgQAAA4AAABkcnMvZTJvRG9jLnhtbK1U&#10;S27bMBDdF+gdCO4bWa7zM2IHho0UBYImQFp0TVOkRYC/krTl9DIFuushcpyi1+gjpXyadpFFvZBn&#10;OKM3fG9mdHa+N5rsRIjK2RmtD0aUCMtdo+xmRj99vHhzQklMzDZMOytm9FZEej5//eqs81Mxdq3T&#10;jQgEIDZOOz+jbUp+WlWRt8KweOC8sAhKFwxLcMOmagLrgG50NR6NjqrOhcYHx0WMOF31QToghpcA&#10;OikVFyvHt0bY1KMGoVkCpdgqH+m83FZKwdOVlFEkomcUTFN5ogjsdX5W8zM23QTmW8WHK7CXXOEZ&#10;J8OURdEHqBVLjGyD+gvKKB5cdDIdcGeqnkhRBCzq0TNtblrmReECqaN/ED3+P1j+YXcdiGowCYeU&#10;WGbQ8V/ffvy8+05wAHU6H6dIuvHXYfAizEx1L4PJ/yBB9kXR2wdFxT4RjsN6fDIeHQGZI1aP68O3&#10;p0Xz6vF1H2J6J5wh2ZjRgJYVJdnuMiaUROp9Sq5m3YXSurRNW9Jl1OMRuskZZlFiBmAaDz7Rbihh&#10;eoMh5ykUyOi0avLrGSiGzXqpA9mxPBrll/mi3B9pufaKxbbPK6EhTVtkZ3l6QbKV9uv9oNLaNbdQ&#10;Nrh+5KLnFwpQlyymaxYwY7gztjBd4SG1AxE3WJS0Lnz913nOR+sRpaTDzILkly0LghL93mIoTuvJ&#10;JA95cSaHx2M44Wlk/TRit2bpwL3GvntezJyf9L0pgzOfsayLXBUhZjlq93IOzjL1u4R152KxKGkY&#10;bM/Spb3xPIP3TVtsk5Oq9DML1asz6IfRLroPa5h356lfsh4/P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pgoftkAAAAKAQAADwAAAAAAAAABACAAAAAiAAAAZHJzL2Rvd25yZXYueG1sUEsBAhQA&#10;FAAAAAgAh07iQPYtvwBjAgAAwgQAAA4AAAAAAAAAAQAgAAAAKAEAAGRycy9lMm9Eb2MueG1sUEsF&#10;BgAAAAAGAAYAWQEAAP0FA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目标岗位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（车间主任）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（品管主任）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（生产经理）</w:t>
                      </w: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161290</wp:posOffset>
                </wp:positionV>
                <wp:extent cx="1282065" cy="1224915"/>
                <wp:effectExtent l="6350" t="6350" r="6985" b="6985"/>
                <wp:wrapNone/>
                <wp:docPr id="14" name="矩形 14"/>
                <wp:cNvGraphicFramePr/>
                <a:graphic xmlns:a="http://schemas.openxmlformats.org/drawingml/2006/main">
                  <a:graphicData uri="http://schemas.microsoft.com/office/word/2010/wordprocessingShape">
                    <wps:wsp>
                      <wps:cNvSpPr/>
                      <wps:spPr>
                        <a:xfrm>
                          <a:off x="1350645" y="801624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初始岗位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（质检员）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（化验员）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（生产操作工）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12.7pt;height:96.45pt;width:100.95pt;z-index:251660288;v-text-anchor:middle;mso-width-relative:page;mso-height-relative:page;" filled="f" stroked="t" coordsize="21600,21600" o:gfxdata="UEsDBAoAAAAAAIdO4kAAAAAAAAAAAAAAAAAEAAAAZHJzL1BLAwQUAAAACACHTuJA9ZLlK9gAAAAJ&#10;AQAADwAAAGRycy9kb3ducmV2LnhtbE2PsU7EMBBEeyT+wVokOs5OiNER4lwRRIFAQnfQ0PniJQnE&#10;dmQ7yfH3LBV0s5rVzJtqd7IjWzDEwTsF2UYAQ9d6M7hOwdvrw9UWWEzaGT16hwq+McKuPj+rdGn8&#10;6va4HFLHKMTFUivoU5pKzmPbo9Vx4yd05H34YHWiM3TcBL1SuB15LsQNt3pw1NDrCZse26/DbBW8&#10;y0/+MjSrnp8f75/kErxoCq/U5UUm7oAlPKW/Z/jFJ3SoienoZ2ciGxXIgqYkBbksgJGfS3kL7Egi&#10;214Dryv+f0H9A1BLAwQUAAAACACHTuJA9FFY8HACAADOBAAADgAAAGRycy9lMm9Eb2MueG1srVRL&#10;btswFNwX6B0I7ht9ajuJETkwYqQoEDQB3KJrmqIsAfyVpC2nlynQXQ+R4xS9RoeU8mnaRRb1Qn7k&#10;G73HGc7T2flBSbIXzndGV7Q4yikRmpu609uKfvp4+eaEEh+Yrpk0WlT0Vnh6vnj96qy3c1Ga1sha&#10;OIIi2s97W9E2BDvPMs9boZg/MlZoJBvjFAtYum1WO9ajupJZmeezrDeuts5w4T12V0OSjhXdSwqa&#10;pum4WBm+U0KHoaoTkgVQ8m1nPV2k0zaN4OG6abwIRFYUTEN6ogniTXxmizM23zpm246PR2AvOcIz&#10;Top1Gk0fSq1YYGTnur9KqY47400TjrhR2UAkKQIWRf5Mm3XLrEhcILW3D6L7/1eWf9jfONLVcMKE&#10;Es0UbvzXtx8/774TbECd3vo5QGt748aVRxipHhqn4j9IkAPefzvNZ5MpJbcVPcmLWTkZ1RWHQHgE&#10;lCdlPgOAA1GU5eS0mMYO2WMp63x4J4wiMaiow/UlVdn+yocBeg+JnbW57KTEPptLTfpY9TjHzXIG&#10;XzbwA0Jlwc3rLSVMbmF4Hlwq6Y3s6vh6fNu77eZCOrJn0SbpN57sD1jsvWK+HXApNcKkBo8o1SBO&#10;jMJhcxgV25j6Fio7M9jPW37ZodQV8+GGOfgNZ8ZEhms8GmlAxIwRJa1xX/+1H/GwAbKU9PAvSH7Z&#10;MScoke81DHJaTHABJKTFZHpcYuGeZjZPM3qnLgy4F5h9y1MY8UHeh40z6jMGdxm7IsU0R+9BznFx&#10;EYa5wuhzsVwmGExuWbjSa8tj8eHSlrtgmi7dZxRqUGfUDzZPjhhHMs7R03VCPX6G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ZLlK9gAAAAJAQAADwAAAAAAAAABACAAAAAiAAAAZHJzL2Rvd25y&#10;ZXYueG1sUEsBAhQAFAAAAAgAh07iQPRRWPBwAgAAzgQAAA4AAAAAAAAAAQAgAAAAJwEAAGRycy9l&#10;Mm9Eb2MueG1sUEsFBgAAAAAGAAYAWQEAAAkGA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初始岗位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（质检员）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（化验员）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（生产操作工）</w:t>
                      </w:r>
                    </w:p>
                  </w:txbxContent>
                </v:textbox>
              </v:rect>
            </w:pict>
          </mc:Fallback>
        </mc:AlternateConten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3651885</wp:posOffset>
                </wp:positionH>
                <wp:positionV relativeFrom="paragraph">
                  <wp:posOffset>314325</wp:posOffset>
                </wp:positionV>
                <wp:extent cx="700405" cy="194945"/>
                <wp:effectExtent l="4445" t="4445" r="19050" b="10160"/>
                <wp:wrapNone/>
                <wp:docPr id="19" name="燕尾形 19"/>
                <wp:cNvGraphicFramePr/>
                <a:graphic xmlns:a="http://schemas.openxmlformats.org/drawingml/2006/main">
                  <a:graphicData uri="http://schemas.microsoft.com/office/word/2010/wordprocessingShape">
                    <wps:wsp>
                      <wps:cNvSpPr/>
                      <wps:spPr>
                        <a:xfrm>
                          <a:off x="0" y="0"/>
                          <a:ext cx="700405" cy="194945"/>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287.55pt;margin-top:24.75pt;height:15.35pt;width:55.15pt;z-index:251666432;v-text-anchor:middle;mso-width-relative:page;mso-height-relative:page;" filled="f" stroked="t" coordsize="21600,21600"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Ox0n2FkAgAAugQAAA4AAABkcnMvZTJvRG9jLnhtbK1U&#10;UW4TMRD9R+IOlv/pbqKEkqibKmpUhFTRSgXx7Xi9WUu2x4ydbMoFOAEX4ARcoNym4hqMvdu0FD76&#10;QT6cGc94xu/5zZ6c7q1hO4VBg6v46KjkTDkJtXabin/8cP7qDWchClcLA05V/EYFfrp4+eKk83M1&#10;hhZMrZBRERfmna94G6OfF0WQrbIiHIFXjoINoBWRXNwUNYqOqltTjMvyddEB1h5BqhBod9UH+VAR&#10;n1MQmkZLtQK5tcrFvioqIyJBCq32gS/ybZtGyXjZNEFFZipOSGNeqQnZ67QWixMx36DwrZbDFcRz&#10;rvAEkxXaUdNDqZWIgm1R/1XKaokQoIlHEmzRA8mMEIpR+YSb61Z4lbEQ1cEfSA//r6x8v7tCpmtS&#10;wowzJyy9+K+v3+5+/Ly7/c5ojwjqfJhT3rW/wsELZCa0+wZt+iccbJ9JvTmQqvaRSdo8LstJOeVM&#10;Umg0m8wm01SzeDjsMcS3CixLRsVJRzuEnk2xuwixz77PSu0cnGtjaF/MjWNdxWfTceogSI4NyYBM&#10;6wlScBvOhNmQzmXE/D4BjK7T6XQ44GZ9ZpDtRFJH/g13+yMttV6J0PZ5OTSkGUdIEj09IclaQ31D&#10;jCL0Ugtenms6fyFCvBJI2iLl0fTFS1oaA3R5GCzOWsAv/9pP+fTkFOWsI60Sss9bgYoz886RGGaj&#10;ySSJOzuT6fGYHHwcWT+OuK09AwI8ojn3MpspP5p7s0Gwn2hIl6krhYST1LvncHDOYj9DNOZSLZc5&#10;jQTtRbxw116m4v1DLbcRGp3f8IGdgTSSdBbCMH5pZh77Oevhk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67nrZAAAACQEAAA8AAAAAAAAAAQAgAAAAIgAAAGRycy9kb3ducmV2LnhtbFBLAQIU&#10;ABQAAAAIAIdO4kDsdJ9hZAIAALoEAAAOAAAAAAAAAAEAIAAAACgBAABkcnMvZTJvRG9jLnhtbFBL&#10;BQYAAAAABgAGAFkBAAD+BQAAAAA=&#10;" adj="18595">
                <v:fill on="f" focussize="0,0"/>
                <v:stroke color="#000000 [3213]" joinstyle="round"/>
                <v:imagedata o:title=""/>
                <o:lock v:ext="edit" aspectratio="f"/>
              </v:shape>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1642745</wp:posOffset>
                </wp:positionH>
                <wp:positionV relativeFrom="paragraph">
                  <wp:posOffset>314325</wp:posOffset>
                </wp:positionV>
                <wp:extent cx="700405" cy="222250"/>
                <wp:effectExtent l="4445" t="5080" r="19050" b="20320"/>
                <wp:wrapNone/>
                <wp:docPr id="18" name="燕尾形 18"/>
                <wp:cNvGraphicFramePr/>
                <a:graphic xmlns:a="http://schemas.openxmlformats.org/drawingml/2006/main">
                  <a:graphicData uri="http://schemas.microsoft.com/office/word/2010/wordprocessingShape">
                    <wps:wsp>
                      <wps:cNvSpPr/>
                      <wps:spPr>
                        <a:xfrm>
                          <a:off x="2675890" y="8524875"/>
                          <a:ext cx="700405" cy="222250"/>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129.35pt;margin-top:24.75pt;height:17.5pt;width:55.15pt;z-index:251664384;v-text-anchor:middle;mso-width-relative:page;mso-height-relative:page;" filled="f" stroked="t" coordsize="21600,21600" o:gfxdata="UEsDBAoAAAAAAIdO4kAAAAAAAAAAAAAAAAAEAAAAZHJzL1BLAwQUAAAACACHTuJAYMwr1NsAAAAJ&#10;AQAADwAAAGRycy9kb3ducmV2LnhtbE2PwU7DMBBE70j8g7VIXBB1WpqShmwqFIkDF6SkAYmbGy9x&#10;1NiObLcpf485wXG1TzNvit1Fj+xMzg/WICwXCTAynZWD6RHa/ct9BswHYaQYrSGEb/KwK6+vCpFL&#10;O5uazk3oWQwxPhcIKoQp59x3irTwCzuRib8v67QI8XQ9l07MMVyPfJUkG67FYGKDEhNVirpjc9II&#10;n/vq7tU17XPr394/5krV03GsEW9vlskTsECX8AfDr35UhzI6HezJSM9GhFWaPUYUYb1NgUXgYbON&#10;4w4I2ToFXhb8/4LyB1BLAwQUAAAACACHTuJAK1ADd3ECAADGBAAADgAAAGRycy9lMm9Eb2MueG1s&#10;rVRLbtswEN0X6B0I7hvJghU7RuTAiJGiQNAGSIuuaYqyBPBXkracXqAn6AV6gl6gvU3Qa/SRUj5N&#10;u8iiWtAzmqcZzps3Pj07KEn2wvnO6IpOjnJKhOam7vS2oh/eX7yaU+ID0zWTRouK3ghPz5YvX5z2&#10;diEK0xpZC0eQRPtFbyvahmAXWeZ5KxTzR8YKjWBjnGIBrttmtWM9siuZFXl+nPXG1dYZLrzH2/UQ&#10;pGNG95yEpmk6LtaG75TQYcjqhGQBLfm2s54u022bRvDwrmm8CERWFJ2GdKII7E08s+UpW2wds23H&#10;xyuw51zhSU+KdRpF71OtWWBk57q/UqmOO+NNE464UdnQSGIEXUzyJ9xct8yK1Auo9vaedP//0vK3&#10;+ytHuhpKwNw1U5j4ry9fb7//vP3xjeAdCOqtXwB3ba/c6HmYsdtD41T8RR/kUNHieFbOT0DtTUXn&#10;ZTGdz8qBYHEIhAMwy/NpXlLCASjwlGkA2UMi63x4LYwi0agoNLV3ZmCW7S99QH2g71CxtDYXnZRp&#10;jFKTvqInZRErMEizgSRgKov2vN5SwuQWmufBpVl5I7s6fh3zeLfdnEtH9iwqJT3x7qj2ByyWXjPf&#10;DrgUGmFSAx2pGsiJ1sbUN2DXmUF23vKLDt9fMh+umIPOQBU2MbzD0UiDy5vRoqQ17vO/3kc8xo8o&#10;JT10i84+7ZgTlMg3GsI4mUynUejJmZazAo57HNk8juidOjdoeIKdtzyZER/kndk4oz5iYVexKkJM&#10;c9QeOByd8zDsE1aei9UqwSBuy8KlvrY8Jh8GtdoF03Rphg/sjKRB3onscRXj/jz2E+rh72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DMK9TbAAAACQEAAA8AAAAAAAAAAQAgAAAAIgAAAGRycy9k&#10;b3ducmV2LnhtbFBLAQIUABQAAAAIAIdO4kArUAN3cQIAAMYEAAAOAAAAAAAAAAEAIAAAACoBAABk&#10;cnMvZTJvRG9jLnhtbFBLBQYAAAAABgAGAFkBAAANBgAAAAA=&#10;" adj="18173">
                <v:fill on="f" focussize="0,0"/>
                <v:stroke color="#000000 [3213]" joinstyle="round"/>
                <v:imagedata o:title=""/>
                <o:lock v:ext="edit" aspectratio="f"/>
              </v:shape>
            </w:pict>
          </mc:Fallback>
        </mc:AlternateConten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pacing w:line="480" w:lineRule="exact"/>
        <w:ind w:firstLine="560" w:firstLineChars="200"/>
        <w:jc w:val="left"/>
        <w:textAlignment w:val="auto"/>
        <w:outlineLvl w:val="0"/>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5" w:name="_Toc7860"/>
      <w:r>
        <w:rPr>
          <w:rFonts w:hint="eastAsia" w:ascii="黑体" w:hAnsi="黑体" w:eastAsia="黑体" w:cs="黑体"/>
          <w:b w:val="0"/>
          <w:bCs/>
          <w:color w:val="000000" w:themeColor="text1"/>
          <w:sz w:val="28"/>
          <w:szCs w:val="28"/>
          <w:lang w:val="en-US" w:eastAsia="zh-CN"/>
          <w14:textFill>
            <w14:solidFill>
              <w14:schemeClr w14:val="tx1"/>
            </w14:solidFill>
          </w14:textFill>
        </w:rPr>
        <w:t>五、培养目标与规格</w:t>
      </w:r>
      <w:bookmarkEnd w:id="15"/>
    </w:p>
    <w:p>
      <w:pPr>
        <w:pStyle w:val="80"/>
        <w:keepNext w:val="0"/>
        <w:keepLines w:val="0"/>
        <w:pageBreakBefore w:val="0"/>
        <w:kinsoku/>
        <w:overflowPunct/>
        <w:topLinePunct w:val="0"/>
        <w:autoSpaceDE/>
        <w:autoSpaceDN/>
        <w:bidi w:val="0"/>
        <w:adjustRightInd/>
        <w:spacing w:line="480" w:lineRule="exact"/>
        <w:ind w:firstLine="560" w:firstLineChars="200"/>
        <w:textAlignment w:val="auto"/>
        <w:outlineLvl w:val="1"/>
        <w:rPr>
          <w:rFonts w:hint="eastAsia" w:ascii="楷体_GB2312" w:hAnsi="楷体_GB2312" w:eastAsia="楷体_GB2312" w:cs="楷体_GB2312"/>
          <w:b w:val="0"/>
          <w:bCs/>
          <w:color w:val="000000" w:themeColor="text1"/>
          <w:sz w:val="28"/>
          <w:szCs w:val="28"/>
          <w14:textFill>
            <w14:solidFill>
              <w14:schemeClr w14:val="tx1"/>
            </w14:solidFill>
          </w14:textFill>
        </w:rPr>
      </w:pPr>
      <w:bookmarkStart w:id="16" w:name="_Toc31453"/>
      <w:bookmarkStart w:id="17" w:name="_Toc38299247"/>
      <w:bookmarkStart w:id="18" w:name="_Toc38201834"/>
      <w:bookmarkStart w:id="19" w:name="_Toc38299250"/>
      <w:bookmarkStart w:id="20" w:name="_Toc38201837"/>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一</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培养目标</w:t>
      </w:r>
      <w:bookmarkEnd w:id="16"/>
      <w:bookmarkEnd w:id="17"/>
      <w:bookmarkEnd w:id="18"/>
    </w:p>
    <w:p>
      <w:pPr>
        <w:keepNext w:val="0"/>
        <w:keepLines w:val="0"/>
        <w:pageBreakBefore w:val="0"/>
        <w:widowControl/>
        <w:kinsoku/>
        <w:overflowPunct/>
        <w:topLinePunct w:val="0"/>
        <w:autoSpaceDE/>
        <w:autoSpaceDN/>
        <w:bidi w:val="0"/>
        <w:adjustRightInd/>
        <w:spacing w:line="480" w:lineRule="exact"/>
        <w:ind w:firstLine="560" w:firstLineChars="200"/>
        <w:jc w:val="left"/>
        <w:textAlignment w:val="auto"/>
        <w:outlineLvl w:val="9"/>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bookmarkStart w:id="21" w:name="_Toc38299248"/>
      <w:bookmarkStart w:id="22" w:name="_Toc38201835"/>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本专业培养理想信念坚定，德、智、体、美、劳全面发展，具有一定的科学文化水平，良好的人文素养、职业道德和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创新精神，</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精益求精的工匠精神，较强的就业能力和可持续发展的能力，掌握本专业知识和技术技能，面向食品相关行业职业群（或技术能力领域），能适应食品产业链生产经营相关环节食品检验、生产加工及质量安全管理等岗位需要的，具备从事现代食品品质控制、食品安全检测、食品卫生与安全管理等工作，具有职业发展能力的高素质技术技能人才。</w:t>
      </w:r>
    </w:p>
    <w:p>
      <w:pPr>
        <w:pStyle w:val="80"/>
        <w:keepNext w:val="0"/>
        <w:keepLines w:val="0"/>
        <w:pageBreakBefore w:val="0"/>
        <w:kinsoku/>
        <w:overflowPunct/>
        <w:topLinePunct w:val="0"/>
        <w:autoSpaceDE/>
        <w:autoSpaceDN/>
        <w:bidi w:val="0"/>
        <w:adjustRightInd/>
        <w:spacing w:line="480" w:lineRule="exact"/>
        <w:ind w:firstLine="560" w:firstLineChars="200"/>
        <w:textAlignment w:val="auto"/>
        <w:outlineLvl w:val="1"/>
        <w:rPr>
          <w:rFonts w:hint="eastAsia" w:ascii="楷体" w:hAnsi="楷体" w:eastAsia="楷体" w:cs="楷体"/>
          <w:b w:val="0"/>
          <w:bCs/>
          <w:color w:val="000000" w:themeColor="text1"/>
          <w:sz w:val="28"/>
          <w:szCs w:val="28"/>
          <w14:textFill>
            <w14:solidFill>
              <w14:schemeClr w14:val="tx1"/>
            </w14:solidFill>
          </w14:textFill>
        </w:rPr>
      </w:pPr>
      <w:bookmarkStart w:id="23" w:name="_Toc20435"/>
      <w:r>
        <w:rPr>
          <w:rFonts w:hint="eastAsia" w:ascii="楷体" w:hAnsi="楷体" w:eastAsia="楷体" w:cs="楷体"/>
          <w:b w:val="0"/>
          <w:bCs/>
          <w:color w:val="000000" w:themeColor="text1"/>
          <w:sz w:val="28"/>
          <w:szCs w:val="28"/>
          <w:lang w:eastAsia="zh-CN"/>
          <w14:textFill>
            <w14:solidFill>
              <w14:schemeClr w14:val="tx1"/>
            </w14:solidFill>
          </w14:textFill>
        </w:rPr>
        <w:t>（</w:t>
      </w:r>
      <w:r>
        <w:rPr>
          <w:rFonts w:hint="eastAsia" w:ascii="楷体" w:hAnsi="楷体" w:eastAsia="楷体" w:cs="楷体"/>
          <w:b w:val="0"/>
          <w:bCs/>
          <w:color w:val="000000" w:themeColor="text1"/>
          <w:sz w:val="28"/>
          <w:szCs w:val="28"/>
          <w:lang w:val="en-US" w:eastAsia="zh-CN"/>
          <w14:textFill>
            <w14:solidFill>
              <w14:schemeClr w14:val="tx1"/>
            </w14:solidFill>
          </w14:textFill>
        </w:rPr>
        <w:t>二</w:t>
      </w:r>
      <w:r>
        <w:rPr>
          <w:rFonts w:hint="eastAsia" w:ascii="楷体" w:hAnsi="楷体" w:eastAsia="楷体" w:cs="楷体"/>
          <w:b w:val="0"/>
          <w:bCs/>
          <w:color w:val="000000" w:themeColor="text1"/>
          <w:sz w:val="28"/>
          <w:szCs w:val="28"/>
          <w:lang w:eastAsia="zh-CN"/>
          <w14:textFill>
            <w14:solidFill>
              <w14:schemeClr w14:val="tx1"/>
            </w14:solidFill>
          </w14:textFill>
        </w:rPr>
        <w:t>）</w:t>
      </w:r>
      <w:r>
        <w:rPr>
          <w:rFonts w:hint="eastAsia" w:ascii="楷体" w:hAnsi="楷体" w:eastAsia="楷体" w:cs="楷体"/>
          <w:b w:val="0"/>
          <w:bCs/>
          <w:color w:val="000000" w:themeColor="text1"/>
          <w:sz w:val="28"/>
          <w:szCs w:val="28"/>
          <w14:textFill>
            <w14:solidFill>
              <w14:schemeClr w14:val="tx1"/>
            </w14:solidFill>
          </w14:textFill>
        </w:rPr>
        <w:t>培养规格</w:t>
      </w:r>
      <w:bookmarkEnd w:id="21"/>
      <w:bookmarkEnd w:id="22"/>
      <w:bookmarkEnd w:id="23"/>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本专业毕业生应在素质、知识和能力等方面达到以下要求。</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基本素质</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1</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政治思想素质：</w:t>
      </w:r>
      <w:r>
        <w:rPr>
          <w:rFonts w:hint="eastAsia" w:ascii="仿宋_GB2312" w:hAnsi="仿宋_GB2312" w:eastAsia="仿宋_GB2312" w:cs="仿宋_GB2312"/>
          <w:color w:val="000000" w:themeColor="text1"/>
          <w:sz w:val="28"/>
          <w:szCs w:val="28"/>
          <w14:textFill>
            <w14:solidFill>
              <w14:schemeClr w14:val="tx1"/>
            </w14:solidFill>
          </w14:textFill>
        </w:rPr>
        <w:t>坚定拥护中国共产党领导和</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14:textFill>
            <w14:solidFill>
              <w14:schemeClr w14:val="tx1"/>
            </w14:solidFill>
          </w14:textFill>
        </w:rPr>
        <w:t>国</w:t>
      </w:r>
      <w:r>
        <w:rPr>
          <w:rFonts w:hint="eastAsia" w:ascii="仿宋_GB2312" w:hAnsi="仿宋_GB2312" w:eastAsia="仿宋_GB2312" w:cs="仿宋_GB2312"/>
          <w:color w:val="000000" w:themeColor="text1"/>
          <w:sz w:val="28"/>
          <w:szCs w:val="28"/>
          <w:lang w:eastAsia="zh-CN"/>
          <w14:textFill>
            <w14:solidFill>
              <w14:schemeClr w14:val="tx1"/>
            </w14:solidFill>
          </w14:textFill>
        </w:rPr>
        <w:t>特色</w:t>
      </w:r>
      <w:r>
        <w:rPr>
          <w:rFonts w:hint="eastAsia" w:ascii="仿宋_GB2312" w:hAnsi="仿宋_GB2312" w:eastAsia="仿宋_GB2312" w:cs="仿宋_GB2312"/>
          <w:color w:val="000000" w:themeColor="text1"/>
          <w:sz w:val="28"/>
          <w:szCs w:val="28"/>
          <w14:textFill>
            <w14:solidFill>
              <w14:schemeClr w14:val="tx1"/>
            </w14:solidFill>
          </w14:textFill>
        </w:rPr>
        <w:t>社会主义制度，在习近平新时代中国特色社会主义思想指引下，践行社会主义核心价值观，具有深厚的爱国情感和中华民族自豪感。崇尚宪法、遵纪守法、崇德向善、诚实守信、尊重生命、热爱劳动，履行道德准则和行为规范，具有社会责任感和社会参与意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文化素质：</w:t>
      </w:r>
      <w:r>
        <w:rPr>
          <w:rFonts w:hint="eastAsia" w:ascii="仿宋_GB2312" w:hAnsi="仿宋_GB2312" w:eastAsia="仿宋_GB2312" w:cs="仿宋_GB2312"/>
          <w:color w:val="000000" w:themeColor="text1"/>
          <w:sz w:val="28"/>
          <w:szCs w:val="28"/>
          <w14:textFill>
            <w14:solidFill>
              <w14:schemeClr w14:val="tx1"/>
            </w14:solidFill>
          </w14:textFill>
        </w:rPr>
        <w:t>具有较为宽阔的视野，文理交融。具有一定的科学思维和科学探索精神，</w:t>
      </w:r>
      <w:r>
        <w:rPr>
          <w:rFonts w:hint="eastAsia" w:ascii="仿宋_GB2312" w:hAnsi="仿宋_GB2312" w:eastAsia="仿宋_GB2312" w:cs="仿宋_GB2312"/>
          <w:color w:val="000000" w:themeColor="text1"/>
          <w:sz w:val="28"/>
          <w:szCs w:val="28"/>
          <w:lang w:eastAsia="zh-CN"/>
          <w14:textFill>
            <w14:solidFill>
              <w14:schemeClr w14:val="tx1"/>
            </w14:solidFill>
          </w14:textFill>
        </w:rPr>
        <w:t>具备一定的文化素养和文学功底，</w:t>
      </w:r>
      <w:r>
        <w:rPr>
          <w:rFonts w:hint="eastAsia" w:ascii="仿宋_GB2312" w:hAnsi="仿宋_GB2312" w:eastAsia="仿宋_GB2312" w:cs="仿宋_GB2312"/>
          <w:color w:val="000000" w:themeColor="text1"/>
          <w:sz w:val="28"/>
          <w:szCs w:val="28"/>
          <w14:textFill>
            <w14:solidFill>
              <w14:schemeClr w14:val="tx1"/>
            </w14:solidFill>
          </w14:textFill>
        </w:rPr>
        <w:t>具备健康、高雅的审美情趣和正确的审美观点、较强的审美能力。</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身体和心理素质：</w:t>
      </w:r>
      <w:r>
        <w:rPr>
          <w:rFonts w:hint="eastAsia" w:ascii="仿宋_GB2312" w:hAnsi="仿宋_GB2312" w:eastAsia="仿宋_GB2312" w:cs="仿宋_GB2312"/>
          <w:color w:val="000000" w:themeColor="text1"/>
          <w:sz w:val="28"/>
          <w:szCs w:val="28"/>
          <w14:textFill>
            <w14:solidFill>
              <w14:schemeClr w14:val="tx1"/>
            </w14:solidFill>
          </w14:textFill>
        </w:rPr>
        <w:t>具有健康的体魄、</w:t>
      </w:r>
      <w:r>
        <w:rPr>
          <w:rFonts w:hint="eastAsia" w:ascii="仿宋_GB2312" w:hAnsi="仿宋_GB2312" w:eastAsia="仿宋_GB2312" w:cs="仿宋_GB2312"/>
          <w:color w:val="000000" w:themeColor="text1"/>
          <w:sz w:val="28"/>
          <w:szCs w:val="28"/>
          <w:lang w:eastAsia="zh-CN"/>
          <w14:textFill>
            <w14:solidFill>
              <w14:schemeClr w14:val="tx1"/>
            </w14:solidFill>
          </w14:textFill>
        </w:rPr>
        <w:t>心理</w:t>
      </w:r>
      <w:r>
        <w:rPr>
          <w:rFonts w:hint="eastAsia" w:ascii="仿宋_GB2312" w:hAnsi="仿宋_GB2312" w:eastAsia="仿宋_GB2312" w:cs="仿宋_GB2312"/>
          <w:color w:val="000000" w:themeColor="text1"/>
          <w:sz w:val="28"/>
          <w:szCs w:val="28"/>
          <w14:textFill>
            <w14:solidFill>
              <w14:schemeClr w14:val="tx1"/>
            </w14:solidFill>
          </w14:textFill>
        </w:rPr>
        <w:t>和健全的人格，养成良好的健身与卫生习惯，以及良好的行为习惯。</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专业素质：</w:t>
      </w:r>
      <w:r>
        <w:rPr>
          <w:rFonts w:hint="eastAsia" w:ascii="仿宋_GB2312" w:hAnsi="仿宋_GB2312" w:eastAsia="仿宋_GB2312" w:cs="仿宋_GB2312"/>
          <w:color w:val="000000" w:themeColor="text1"/>
          <w:sz w:val="28"/>
          <w:szCs w:val="28"/>
          <w14:textFill>
            <w14:solidFill>
              <w14:schemeClr w14:val="tx1"/>
            </w14:solidFill>
          </w14:textFill>
        </w:rPr>
        <w:t>具有良好的职业道德和敬业精神，做到吃苦耐劳、踏实肯干。树立诚实守信意识和责任意识，有良好的社会责任感和使命感。能够严格遵守职业规范及操作规程，具有较强的安全和环保意识。</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知识要求</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（1）具备必备的政治理论、数理基础，以及社会与人文知识。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（2）能够掌握化学、生物化学、食品化学、食品加工原理的基本知识。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（3）具有食品生产单元操作、加工工艺等基本知识。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 w:hAnsi="仿宋" w:eastAsia="仿宋" w:cs="仿宋"/>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（4）</w:t>
      </w:r>
      <w:r>
        <w:rPr>
          <w:rFonts w:hint="eastAsia" w:ascii="仿宋" w:hAnsi="仿宋" w:eastAsia="仿宋" w:cs="仿宋"/>
          <w:spacing w:val="-1"/>
          <w:sz w:val="28"/>
          <w:szCs w:val="28"/>
          <w:lang w:eastAsia="zh-CN"/>
        </w:rPr>
        <w:t>掌握食品检验的基础理论知识，检验检测的原理和方法，食品检验的规范和要求。</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掌握食品产品生产原料、半成品、成品检验的基本知识。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val="0"/>
          <w:bCs/>
          <w:color w:val="000000" w:themeColor="text1"/>
          <w:sz w:val="28"/>
          <w:szCs w:val="28"/>
          <w14:textFill>
            <w14:solidFill>
              <w14:schemeClr w14:val="tx1"/>
            </w14:solidFill>
          </w14:textFill>
        </w:rPr>
        <w:t>）了解食品行业的法律法规要求。</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28"/>
          <w:szCs w:val="28"/>
          <w14:textFill>
            <w14:solidFill>
              <w14:schemeClr w14:val="tx1"/>
            </w14:solidFill>
          </w14:textFill>
        </w:rPr>
        <w:t>）具有本专业所必需的公共英语和职业英语知识。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color w:val="000000" w:themeColor="text1"/>
          <w:sz w:val="28"/>
          <w:szCs w:val="28"/>
          <w14:textFill>
            <w14:solidFill>
              <w14:schemeClr w14:val="tx1"/>
            </w14:solidFill>
          </w14:textFill>
        </w:rPr>
        <w:t>）了解食品行业动态，具有食品企业经营运作的相关管理知识。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28"/>
          <w:szCs w:val="28"/>
          <w14:textFill>
            <w14:solidFill>
              <w14:schemeClr w14:val="tx1"/>
            </w14:solidFill>
          </w14:textFill>
        </w:rPr>
        <w:t>）具有资源节约、环境友好、清洁生产、安全生产的观念和基本知识。</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14:textFill>
            <w14:solidFill>
              <w14:schemeClr w14:val="tx1"/>
            </w14:solidFill>
          </w14:textFill>
        </w:rPr>
        <w:t>能力要求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具有探究学习、终身学习、分析问题和解决问题的能力。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具有良好的语言、文字表达能力和沟通能力。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具有一定的计算机应用能力，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熟练使用常用办公软件等</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56" w:firstLineChars="200"/>
        <w:jc w:val="both"/>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（4）能够根据生产工艺要求与操作规范进行生产操作。</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56" w:firstLineChars="200"/>
        <w:jc w:val="both"/>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（5）具有食品加工过程控制、工艺参数的设计与调整的能力。</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56" w:firstLineChars="200"/>
        <w:jc w:val="both"/>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（6）能够正确理解食品检验标准，规范完成食品检验工作。能够正确配制试剂，熟练使用主要检验仪器。</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56" w:firstLineChars="200"/>
        <w:jc w:val="both"/>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(7)能够正确处理检测数据，正确表述分析结果，并能对检验结果进行判断和分析。</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56" w:firstLineChars="200"/>
        <w:jc w:val="both"/>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(8)能够参与新产品、新技术的研发工作。</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28" w:firstLineChars="200"/>
        <w:jc w:val="both"/>
        <w:textAlignment w:val="auto"/>
        <w:rPr>
          <w:rFonts w:hint="eastAsia" w:ascii="仿宋" w:hAnsi="仿宋" w:eastAsia="仿宋" w:cs="仿宋"/>
          <w:spacing w:val="-8"/>
          <w:sz w:val="28"/>
          <w:szCs w:val="28"/>
          <w:lang w:val="en-US" w:eastAsia="zh-CN" w:bidi="zh-CN"/>
        </w:rPr>
      </w:pPr>
      <w:r>
        <w:rPr>
          <w:rFonts w:hint="eastAsia" w:ascii="仿宋" w:hAnsi="仿宋" w:eastAsia="仿宋" w:cs="仿宋"/>
          <w:spacing w:val="-8"/>
          <w:sz w:val="28"/>
          <w:szCs w:val="28"/>
          <w:lang w:val="en-US" w:eastAsia="zh-CN" w:bidi="zh-CN"/>
        </w:rPr>
        <w:t>(9)能够根据企业管理规范实施一线管理工作。</w:t>
      </w:r>
    </w:p>
    <w:p>
      <w:pPr>
        <w:pStyle w:val="89"/>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after="0" w:line="480" w:lineRule="exact"/>
        <w:ind w:right="754" w:rightChars="0" w:firstLine="52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spacing w:val="-8"/>
          <w:sz w:val="28"/>
          <w:szCs w:val="28"/>
          <w:lang w:val="en-US" w:eastAsia="zh-CN" w:bidi="zh-CN"/>
        </w:rPr>
        <w:t>(10)能够从事食品认证相关工作。</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color w:val="000000" w:themeColor="text1"/>
          <w:sz w:val="28"/>
          <w:szCs w:val="28"/>
          <w14:textFill>
            <w14:solidFill>
              <w14:schemeClr w14:val="tx1"/>
            </w14:solidFill>
          </w14:textFill>
        </w:rPr>
        <w:t>职业态度</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职业道德：增强学生的诚信品质、敬业精神、责任意识和遵纪守法意识，不谋私利、公道正派、廉洁自律、坚持原则。</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职业行为：严格执行相关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职业岗位</w:t>
      </w:r>
      <w:r>
        <w:rPr>
          <w:rFonts w:hint="eastAsia" w:ascii="仿宋_GB2312" w:hAnsi="仿宋_GB2312" w:eastAsia="仿宋_GB2312" w:cs="仿宋_GB2312"/>
          <w:color w:val="000000" w:themeColor="text1"/>
          <w:sz w:val="28"/>
          <w:szCs w:val="28"/>
          <w14:textFill>
            <w14:solidFill>
              <w14:schemeClr w14:val="tx1"/>
            </w14:solidFill>
          </w14:textFill>
        </w:rPr>
        <w:t>标准和安全操作规程。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能严格遵守企业相关管理制度，养成吃苦耐劳、乐于奉献的职业品质</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1"/>
        <w:rPr>
          <w:rFonts w:hint="eastAsia" w:ascii="楷体" w:hAnsi="楷体" w:eastAsia="楷体" w:cs="楷体"/>
          <w:b w:val="0"/>
          <w:bCs/>
          <w:color w:val="000000" w:themeColor="text1"/>
          <w:sz w:val="28"/>
          <w:szCs w:val="28"/>
          <w14:textFill>
            <w14:solidFill>
              <w14:schemeClr w14:val="tx1"/>
            </w14:solidFill>
          </w14:textFill>
        </w:rPr>
      </w:pPr>
      <w:bookmarkStart w:id="24" w:name="_Toc9617"/>
      <w:r>
        <w:rPr>
          <w:rFonts w:hint="eastAsia" w:ascii="楷体" w:hAnsi="楷体" w:eastAsia="楷体" w:cs="楷体"/>
          <w:b w:val="0"/>
          <w:bCs/>
          <w:color w:val="000000" w:themeColor="text1"/>
          <w:sz w:val="28"/>
          <w:szCs w:val="28"/>
          <w:lang w:eastAsia="zh-CN"/>
          <w14:textFill>
            <w14:solidFill>
              <w14:schemeClr w14:val="tx1"/>
            </w14:solidFill>
          </w14:textFill>
        </w:rPr>
        <w:t>（</w:t>
      </w:r>
      <w:r>
        <w:rPr>
          <w:rFonts w:hint="eastAsia" w:ascii="楷体" w:hAnsi="楷体" w:eastAsia="楷体" w:cs="楷体"/>
          <w:b w:val="0"/>
          <w:bCs/>
          <w:color w:val="000000" w:themeColor="text1"/>
          <w:sz w:val="28"/>
          <w:szCs w:val="28"/>
          <w:lang w:val="en-US" w:eastAsia="zh-CN"/>
          <w14:textFill>
            <w14:solidFill>
              <w14:schemeClr w14:val="tx1"/>
            </w14:solidFill>
          </w14:textFill>
        </w:rPr>
        <w:t>三</w:t>
      </w:r>
      <w:r>
        <w:rPr>
          <w:rFonts w:hint="eastAsia" w:ascii="楷体" w:hAnsi="楷体" w:eastAsia="楷体" w:cs="楷体"/>
          <w:b w:val="0"/>
          <w:bCs/>
          <w:color w:val="000000" w:themeColor="text1"/>
          <w:sz w:val="28"/>
          <w:szCs w:val="28"/>
          <w:lang w:eastAsia="zh-CN"/>
          <w14:textFill>
            <w14:solidFill>
              <w14:schemeClr w14:val="tx1"/>
            </w14:solidFill>
          </w14:textFill>
        </w:rPr>
        <w:t>）</w:t>
      </w:r>
      <w:r>
        <w:rPr>
          <w:rFonts w:hint="eastAsia" w:ascii="楷体" w:hAnsi="楷体" w:eastAsia="楷体" w:cs="楷体"/>
          <w:b w:val="0"/>
          <w:bCs/>
          <w:color w:val="000000" w:themeColor="text1"/>
          <w:sz w:val="28"/>
          <w:szCs w:val="28"/>
          <w14:textFill>
            <w14:solidFill>
              <w14:schemeClr w14:val="tx1"/>
            </w14:solidFill>
          </w14:textFill>
        </w:rPr>
        <w:t>创新创业能力的培养</w:t>
      </w:r>
      <w:bookmarkEnd w:id="24"/>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转变观念，培养创新创业意识：通过学校的教育活动，充分挖掘大学生丰富的创造潜能，增强学生的自信心，并使之以全新的观念审视自己，意识到自己所拥有的丰富创造力,并深刻感受到创造可以体现在自己的学习、工作、生活等各个方面。</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改革教育</w:t>
      </w:r>
      <w:r>
        <w:rPr>
          <w:rFonts w:hint="eastAsia" w:ascii="仿宋_GB2312" w:hAnsi="仿宋_GB2312" w:eastAsia="仿宋_GB2312" w:cs="仿宋_GB2312"/>
          <w:color w:val="000000" w:themeColor="text1"/>
          <w:sz w:val="28"/>
          <w:szCs w:val="28"/>
          <w:lang w:eastAsia="zh-CN"/>
          <w14:textFill>
            <w14:solidFill>
              <w14:schemeClr w14:val="tx1"/>
            </w14:solidFill>
          </w14:textFill>
        </w:rPr>
        <w:t>理念，</w:t>
      </w:r>
      <w:r>
        <w:rPr>
          <w:rFonts w:hint="eastAsia" w:ascii="仿宋_GB2312" w:hAnsi="仿宋_GB2312" w:eastAsia="仿宋_GB2312" w:cs="仿宋_GB2312"/>
          <w:color w:val="000000" w:themeColor="text1"/>
          <w:sz w:val="28"/>
          <w:szCs w:val="28"/>
          <w14:textFill>
            <w14:solidFill>
              <w14:schemeClr w14:val="tx1"/>
            </w14:solidFill>
          </w14:textFill>
        </w:rPr>
        <w:t>实现由就业型人才培养目标向创业型人才培养目标的转变。改</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14:textFill>
            <w14:solidFill>
              <w14:schemeClr w14:val="tx1"/>
            </w14:solidFill>
          </w14:textFill>
        </w:rPr>
        <w:t>教学方法，从以传授知识为中心转变为以培养学生创新能力为中心，以人为本，构建创新人才培养的教育模式。</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组织各类竞赛及学术讲座</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协调大学生的个性发展，促进大学生在创新创业方面得以充分发挥个人才能。</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val="0"/>
        <w:spacing w:line="520" w:lineRule="exact"/>
        <w:ind w:left="319" w:leftChars="152" w:firstLine="281" w:firstLineChars="100"/>
        <w:textAlignment w:val="auto"/>
        <w:outlineLvl w:val="0"/>
        <w:rPr>
          <w:rFonts w:hint="eastAsia" w:ascii="黑体" w:hAnsi="黑体" w:eastAsia="黑体" w:cs="黑体"/>
          <w:color w:val="000000" w:themeColor="text1"/>
          <w:sz w:val="28"/>
          <w:szCs w:val="28"/>
          <w14:textFill>
            <w14:solidFill>
              <w14:schemeClr w14:val="tx1"/>
            </w14:solidFill>
          </w14:textFill>
        </w:rPr>
      </w:pPr>
      <w:bookmarkStart w:id="25" w:name="_Toc13220"/>
      <w:r>
        <w:rPr>
          <w:rFonts w:hint="eastAsia" w:ascii="黑体" w:hAnsi="黑体" w:eastAsia="黑体" w:cs="黑体"/>
          <w:color w:val="000000" w:themeColor="text1"/>
          <w:sz w:val="28"/>
          <w:szCs w:val="28"/>
          <w:lang w:val="en-US" w:eastAsia="zh-CN"/>
          <w14:textFill>
            <w14:solidFill>
              <w14:schemeClr w14:val="tx1"/>
            </w14:solidFill>
          </w14:textFill>
        </w:rPr>
        <w:t>六、</w:t>
      </w:r>
      <w:r>
        <w:rPr>
          <w:rFonts w:hint="eastAsia" w:ascii="黑体" w:hAnsi="黑体" w:eastAsia="黑体" w:cs="黑体"/>
          <w:color w:val="000000" w:themeColor="text1"/>
          <w:sz w:val="28"/>
          <w:szCs w:val="28"/>
          <w14:textFill>
            <w14:solidFill>
              <w14:schemeClr w14:val="tx1"/>
            </w14:solidFill>
          </w14:textFill>
        </w:rPr>
        <w:t>课程设置及要求</w:t>
      </w:r>
      <w:bookmarkEnd w:id="19"/>
      <w:bookmarkEnd w:id="20"/>
      <w:bookmarkEnd w:id="25"/>
      <w:r>
        <w:rPr>
          <w:rFonts w:hint="eastAsia" w:ascii="黑体" w:hAnsi="黑体" w:eastAsia="黑体" w:cs="黑体"/>
          <w:color w:val="000000" w:themeColor="text1"/>
          <w:sz w:val="28"/>
          <w:szCs w:val="28"/>
          <w14:textFill>
            <w14:solidFill>
              <w14:schemeClr w14:val="tx1"/>
            </w14:solidFill>
          </w14:textFill>
        </w:rPr>
        <w:t xml:space="preserve"> </w:t>
      </w:r>
    </w:p>
    <w:p>
      <w:pPr>
        <w:pStyle w:val="80"/>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9"/>
        <w:rPr>
          <w:rFonts w:hint="eastAsia" w:ascii="楷体_GB2312" w:hAnsi="楷体_GB2312" w:eastAsia="楷体_GB2312" w:cs="楷体_GB2312"/>
          <w:b w:val="0"/>
          <w:bCs/>
          <w:color w:val="000000" w:themeColor="text1"/>
          <w:sz w:val="28"/>
          <w:szCs w:val="28"/>
          <w14:textFill>
            <w14:solidFill>
              <w14:schemeClr w14:val="tx1"/>
            </w14:solidFill>
          </w14:textFill>
        </w:rPr>
      </w:pPr>
      <w:bookmarkStart w:id="26" w:name="_Toc38201838"/>
      <w:bookmarkStart w:id="27" w:name="_Toc38299251"/>
      <w:bookmarkStart w:id="28" w:name="_Toc29687"/>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一</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本专业公共基础课设置</w:t>
      </w:r>
      <w:bookmarkEnd w:id="26"/>
      <w:bookmarkEnd w:id="27"/>
      <w:bookmarkEnd w:id="28"/>
    </w:p>
    <w:tbl>
      <w:tblPr>
        <w:tblStyle w:val="27"/>
        <w:tblW w:w="9308"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0"/>
        <w:gridCol w:w="3834"/>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课程名称</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课程目标</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lang w:eastAsia="zh-CN"/>
              </w:rPr>
            </w:pPr>
            <w:r>
              <w:rPr>
                <w:rFonts w:hint="eastAsia" w:ascii="宋体" w:hAnsi="宋体" w:eastAsia="宋体" w:cs="宋体"/>
                <w:color w:val="404040"/>
                <w:szCs w:val="21"/>
                <w:shd w:val="clear" w:color="000000" w:fill="FFFFFF"/>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形势与政策</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帮助大学生正确认识新时代国内外形势，深刻领会党的十八大以来党和国家事业取得的历史性成就、发生的历史性变革、面临的历史性机遇和挑战。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404040"/>
                <w:szCs w:val="21"/>
                <w:shd w:val="clear" w:color="000000" w:fill="FFFFFF"/>
                <w:lang w:val="en-US" w:eastAsia="zh-CN"/>
              </w:rPr>
              <w:t>2</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shd w:val="clear" w:color="000000" w:fill="FFFFFF"/>
                <w:lang w:val="en-US" w:eastAsia="zh-CN" w:bidi="ar-SA"/>
              </w:rPr>
            </w:pPr>
            <w:r>
              <w:rPr>
                <w:rFonts w:hint="eastAsia" w:ascii="宋体" w:hAnsi="宋体" w:eastAsia="宋体" w:cs="宋体"/>
                <w:szCs w:val="21"/>
              </w:rPr>
              <w:t>军训</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大学生军训课程使每名同学掌握单个军人队列动作要领。养成良好的素质和优良作风。课程内容包括: 1</w:t>
            </w:r>
            <w:r>
              <w:rPr>
                <w:rFonts w:hint="eastAsia" w:ascii="宋体" w:hAnsi="宋体" w:eastAsia="宋体" w:cs="宋体"/>
                <w:szCs w:val="21"/>
                <w:lang w:val="en-US" w:eastAsia="zh-CN"/>
              </w:rPr>
              <w:t>.</w:t>
            </w:r>
            <w:r>
              <w:rPr>
                <w:rFonts w:hint="eastAsia" w:ascii="宋体" w:hAnsi="宋体" w:eastAsia="宋体" w:cs="宋体"/>
                <w:szCs w:val="21"/>
              </w:rPr>
              <w:t>单个军人队列动作（立正、稍息、跨立；停止间转法；行进与立定；步法变换；坐下，蹲下，起立）。2</w:t>
            </w:r>
            <w:r>
              <w:rPr>
                <w:rFonts w:hint="eastAsia" w:ascii="宋体" w:hAnsi="宋体" w:eastAsia="宋体" w:cs="宋体"/>
                <w:szCs w:val="21"/>
                <w:lang w:val="en-US" w:eastAsia="zh-CN"/>
              </w:rPr>
              <w:t>.</w:t>
            </w:r>
            <w:r>
              <w:rPr>
                <w:rFonts w:hint="eastAsia" w:ascii="宋体" w:hAnsi="宋体" w:eastAsia="宋体" w:cs="宋体"/>
                <w:szCs w:val="21"/>
              </w:rPr>
              <w:t>整理内务卫生。3</w:t>
            </w:r>
            <w:r>
              <w:rPr>
                <w:rFonts w:hint="eastAsia" w:ascii="宋体" w:hAnsi="宋体" w:eastAsia="宋体" w:cs="宋体"/>
                <w:szCs w:val="21"/>
                <w:lang w:val="en-US" w:eastAsia="zh-CN"/>
              </w:rPr>
              <w:t>.</w:t>
            </w:r>
            <w:r>
              <w:rPr>
                <w:rFonts w:hint="eastAsia" w:ascii="宋体" w:hAnsi="宋体" w:eastAsia="宋体" w:cs="宋体"/>
                <w:szCs w:val="21"/>
              </w:rPr>
              <w:t>紧急集合和疏散4</w:t>
            </w:r>
            <w:r>
              <w:rPr>
                <w:rFonts w:hint="eastAsia" w:ascii="宋体" w:hAnsi="宋体" w:eastAsia="宋体" w:cs="宋体"/>
                <w:szCs w:val="21"/>
                <w:lang w:val="en-US" w:eastAsia="zh-CN"/>
              </w:rPr>
              <w:t>.</w:t>
            </w:r>
            <w:r>
              <w:rPr>
                <w:rFonts w:hint="eastAsia" w:ascii="宋体" w:hAnsi="宋体" w:eastAsia="宋体" w:cs="宋体"/>
                <w:szCs w:val="21"/>
              </w:rPr>
              <w:t>红歌学唱。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军事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szCs w:val="21"/>
                <w:lang w:eastAsia="zh-CN"/>
              </w:rPr>
              <w:t>理论</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Cs w:val="21"/>
                <w:lang w:val="zh-TW" w:eastAsia="zh-TW"/>
              </w:rPr>
            </w:pPr>
            <w:r>
              <w:rPr>
                <w:rFonts w:hint="eastAsia" w:ascii="宋体" w:hAnsi="宋体" w:eastAsia="宋体" w:cs="宋体"/>
                <w:color w:val="auto"/>
                <w:szCs w:val="21"/>
                <w:lang w:val="zh-TW" w:eastAsia="zh-TW"/>
              </w:rPr>
              <w:t>军事</w:t>
            </w:r>
            <w:r>
              <w:rPr>
                <w:rFonts w:hint="eastAsia" w:ascii="宋体" w:hAnsi="宋体" w:eastAsia="宋体" w:cs="宋体"/>
                <w:color w:val="auto"/>
                <w:szCs w:val="21"/>
                <w:lang w:val="en-US" w:eastAsia="zh-CN"/>
              </w:rPr>
              <w:t>理论</w:t>
            </w:r>
            <w:r>
              <w:rPr>
                <w:rFonts w:hint="eastAsia" w:ascii="宋体" w:hAnsi="宋体" w:eastAsia="宋体" w:cs="宋体"/>
                <w:color w:val="auto"/>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Cs w:val="21"/>
                <w:lang w:val="zh-TW" w:eastAsia="zh-TW"/>
              </w:rPr>
            </w:pPr>
            <w:r>
              <w:rPr>
                <w:rFonts w:hint="eastAsia" w:ascii="宋体" w:hAnsi="宋体" w:eastAsia="宋体" w:cs="宋体"/>
                <w:color w:val="auto"/>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劳动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引导学生从思想认识、情感态度、能力习惯三个方面面向学生提出了劳动教育目标，突出强调劳动教育的思想性.强调理解和形成马克思主义劳动观，牢固树立劳动最光荣、劳动最崇高、劳动最伟大、劳动最美丽的观念；体会劳动创造美好生活</w:t>
            </w:r>
            <w:r>
              <w:rPr>
                <w:rFonts w:hint="eastAsia" w:ascii="宋体" w:hAnsi="宋体" w:eastAsia="宋体" w:cs="宋体"/>
                <w:szCs w:val="21"/>
                <w:lang w:eastAsia="zh-CN"/>
              </w:rPr>
              <w:t>、</w:t>
            </w:r>
            <w:r>
              <w:rPr>
                <w:rFonts w:hint="eastAsia" w:ascii="宋体" w:hAnsi="宋体" w:eastAsia="宋体" w:cs="宋体"/>
                <w:szCs w:val="21"/>
              </w:rPr>
              <w:t>劳动不分贵贱，热爱劳动，尊重普通劳动者，培养勤俭、奋斗、创新、奉献的劳动精神；具备满足生存发展需要的基本劳动能力，形成良好的劳动习惯。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5</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思想</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道德与法治</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CN" w:bidi="ar-SA"/>
              </w:rPr>
            </w:pPr>
            <w:r>
              <w:rPr>
                <w:rFonts w:hint="eastAsia" w:ascii="宋体" w:hAnsi="宋体" w:eastAsia="宋体" w:cs="宋体"/>
                <w:szCs w:val="21"/>
              </w:rPr>
              <w:t>围绕职业岗位和社会的需要，结合学生情感、意志、能力形成过程，帮助大学生树立正确的人生观、价值观、道德观和法制观</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思想政治理论课实践教学</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Cs w:val="21"/>
              </w:rPr>
            </w:pPr>
            <w:r>
              <w:rPr>
                <w:rFonts w:hint="eastAsia" w:ascii="宋体" w:hAnsi="宋体" w:eastAsia="宋体" w:cs="宋体"/>
                <w:color w:val="auto"/>
                <w:szCs w:val="21"/>
                <w:lang w:val="en-US" w:eastAsia="zh-CN"/>
              </w:rPr>
              <w:t>立德树人，促进大学生健康成长和全面发展，引领风尚，提高大学生的思想政治素质，践行社会主义核心价值体系；承接地气，满足社会发展的需要和大学生自身的需要。</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Cs w:val="21"/>
              </w:rPr>
            </w:pPr>
            <w:r>
              <w:rPr>
                <w:rFonts w:hint="eastAsia" w:ascii="宋体" w:hAnsi="宋体" w:eastAsia="宋体" w:cs="宋体"/>
                <w:color w:val="auto"/>
                <w:szCs w:val="21"/>
                <w:lang w:val="en-US" w:eastAsia="zh-CN"/>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7</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铸牢中华民族共同体意识</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学习中国的民族区域自治政策，促进各民族交往交流交融，理解国家通用语言文字是传承发展的财富和交往交流交融的纽带，增强对中华文化的认同，学习习近平总书记为内蒙古擘画的发展蓝图。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8</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eastAsia="zh-CN"/>
              </w:rPr>
              <w:t>毛泽东思想和中国特色社会主义理论体系概论</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学会运用马克思主义立场、观点、方法解决现实生活的基本问题。掌握科学地认识和分析复杂的社会现象的能力，运用建设中国特色社会主义理论和党的方针政策，对我国经济、政治和社会发展现状</w:t>
            </w:r>
            <w:r>
              <w:rPr>
                <w:rFonts w:hint="eastAsia" w:ascii="宋体" w:hAnsi="宋体" w:eastAsia="宋体" w:cs="宋体"/>
                <w:szCs w:val="21"/>
                <w:lang w:val="en-US" w:eastAsia="zh-CN"/>
              </w:rPr>
              <w:t>等</w:t>
            </w:r>
            <w:r>
              <w:rPr>
                <w:rFonts w:hint="eastAsia" w:ascii="宋体" w:hAnsi="宋体" w:eastAsia="宋体" w:cs="宋体"/>
                <w:szCs w:val="21"/>
              </w:rPr>
              <w:t>社会现实问题，具</w:t>
            </w:r>
            <w:r>
              <w:rPr>
                <w:rFonts w:hint="eastAsia" w:ascii="宋体" w:hAnsi="宋体" w:eastAsia="宋体" w:cs="宋体"/>
                <w:szCs w:val="21"/>
                <w:lang w:val="en-US" w:eastAsia="zh-CN"/>
              </w:rPr>
              <w:t>备</w:t>
            </w:r>
            <w:r>
              <w:rPr>
                <w:rFonts w:hint="eastAsia" w:ascii="宋体" w:hAnsi="宋体" w:eastAsia="宋体" w:cs="宋体"/>
                <w:szCs w:val="21"/>
              </w:rPr>
              <w:t>初步分析、判断能力。</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学习中国共产党把马克思主义基本原理与中国实际相结合的历史进程，充分反映马克思主义中国化的理论成果。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kern w:val="2"/>
                <w:sz w:val="21"/>
                <w:szCs w:val="21"/>
                <w:shd w:val="clear" w:color="000000" w:fill="FFFFFF"/>
                <w:lang w:val="en-US" w:eastAsia="zh-CN" w:bidi="ar-SA"/>
              </w:rPr>
              <w:t>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404040"/>
                <w:kern w:val="2"/>
                <w:sz w:val="21"/>
                <w:szCs w:val="21"/>
                <w:shd w:val="clear" w:color="000000" w:fill="FFFFFF"/>
                <w:lang w:val="en-US" w:eastAsia="zh-CN" w:bidi="ar-SA"/>
              </w:rPr>
            </w:pP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习近平新时代中国特色社会主义</w:t>
            </w:r>
            <w:r>
              <w:rPr>
                <w:rFonts w:hint="eastAsia" w:ascii="宋体" w:hAnsi="宋体" w:eastAsia="宋体" w:cs="宋体"/>
                <w:szCs w:val="21"/>
                <w:lang w:val="en-US" w:eastAsia="zh-CN"/>
              </w:rPr>
              <w:t>思想概论</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kern w:val="2"/>
                <w:sz w:val="21"/>
                <w:szCs w:val="21"/>
                <w:lang w:val="en-US" w:eastAsia="zh-CN" w:bidi="ar-SA"/>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kern w:val="2"/>
                <w:sz w:val="21"/>
                <w:szCs w:val="21"/>
                <w:lang w:val="en-US" w:eastAsia="zh-CN" w:bidi="ar-SA"/>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10</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职业发展与就业指导</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就业形势、就业政策、求职技巧、就业信息等方面内容。模拟面试演练可作为学生考评之一。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11</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高职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英语</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lang w:val="en-US" w:eastAsia="zh-CN" w:bidi="ar-SA"/>
              </w:rPr>
            </w:pP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高职英语的教学内容与学生的专业和生活实际紧密联系，主要围绕交通运输、职业生涯、日常生活、饮食、学习、数字时代、时尚与美</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世界文化</w:t>
            </w:r>
            <w:r>
              <w:rPr>
                <w:rFonts w:hint="eastAsia" w:ascii="宋体" w:hAnsi="宋体" w:eastAsia="宋体" w:cs="宋体"/>
                <w:color w:val="auto"/>
                <w:szCs w:val="21"/>
              </w:rPr>
              <w:t>等方面，着重培养学生的听说能力，兼顾阅读理解、写作和语法等方面，培养学生对英语的综合运用能力。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12</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信息</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技术</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本课程是一门计算机入门课程，是为非计算机专业类学生提供计算机一般应用所必需的基础知识、能力和素质的课程，内容丰富，与时俱进，实用性强。</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本课程包括操作系统、文字处理软件、电子表格、演示文稿、人工智能、大数据、常用剪辑软件等现代办公常用信息技术。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13</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高职实用语文</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CN" w:bidi="ar-SA"/>
              </w:rPr>
            </w:pPr>
            <w:r>
              <w:rPr>
                <w:rFonts w:hint="eastAsia" w:ascii="宋体" w:hAnsi="宋体" w:eastAsia="宋体" w:cs="宋体"/>
                <w:szCs w:val="21"/>
              </w:rPr>
              <w:t>普及文学常识及中国</w:t>
            </w:r>
            <w:r>
              <w:rPr>
                <w:rFonts w:hint="eastAsia" w:ascii="宋体" w:hAnsi="宋体" w:eastAsia="宋体" w:cs="宋体"/>
                <w:szCs w:val="21"/>
                <w:lang w:val="en-US" w:eastAsia="zh-CN"/>
              </w:rPr>
              <w:t>传统</w:t>
            </w:r>
            <w:r>
              <w:rPr>
                <w:rFonts w:hint="eastAsia" w:ascii="宋体" w:hAnsi="宋体" w:eastAsia="宋体" w:cs="宋体"/>
                <w:szCs w:val="21"/>
              </w:rPr>
              <w:t>文化思想，提高人文素养</w:t>
            </w:r>
            <w:r>
              <w:rPr>
                <w:rFonts w:hint="eastAsia" w:ascii="宋体" w:hAnsi="宋体" w:eastAsia="宋体" w:cs="宋体"/>
                <w:szCs w:val="21"/>
                <w:lang w:eastAsia="zh-CN"/>
              </w:rPr>
              <w:t>。</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高职实用语文主要教学内容：主要作家、作品、经典篇章、文学史知识。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要求：对文学史发展有比较清晰地概念，对重要作家作品有基本的了解，能够具备一定的文学知识储备和文化素养。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404040"/>
                <w:kern w:val="2"/>
                <w:sz w:val="21"/>
                <w:szCs w:val="21"/>
                <w:shd w:val="clear" w:color="000000" w:fill="FFFFFF"/>
                <w:lang w:val="en-US" w:eastAsia="zh-CN" w:bidi="ar-SA"/>
              </w:rPr>
            </w:pPr>
            <w:r>
              <w:rPr>
                <w:rFonts w:hint="eastAsia" w:ascii="宋体" w:hAnsi="宋体" w:eastAsia="宋体" w:cs="宋体"/>
                <w:color w:val="404040"/>
                <w:szCs w:val="21"/>
                <w:shd w:val="clear" w:color="000000" w:fill="FFFFFF"/>
                <w:lang w:val="en-US" w:eastAsia="zh-CN"/>
              </w:rPr>
              <w:t>14</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体育与健康</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紧扣课程的主要目标，实现健身性、实效性、科学性、人文性、职业准备性的有机统一。以“健康第一”的指导思想作为确定课程内容的基本出发点，以身体练习作为体育课程的主要载体，体育理论知识为辅，</w:t>
            </w:r>
            <w:r>
              <w:rPr>
                <w:rFonts w:hint="eastAsia" w:ascii="宋体" w:hAnsi="宋体" w:eastAsia="宋体" w:cs="宋体"/>
                <w:color w:val="auto"/>
                <w:szCs w:val="21"/>
                <w:lang w:val="en-US" w:eastAsia="zh-CN"/>
              </w:rPr>
              <w:t>具备一定的</w:t>
            </w:r>
            <w:r>
              <w:rPr>
                <w:rFonts w:hint="eastAsia" w:ascii="宋体" w:hAnsi="宋体" w:eastAsia="宋体" w:cs="宋体"/>
                <w:color w:val="auto"/>
                <w:szCs w:val="21"/>
              </w:rPr>
              <w:t>篮球、足球</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基本技术和理论知识。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shd w:val="clear" w:color="000000" w:fill="FFFFFF"/>
                <w:lang w:val="en-US" w:eastAsia="zh-CN" w:bidi="ar-SA"/>
              </w:rPr>
            </w:pPr>
            <w:r>
              <w:rPr>
                <w:rFonts w:hint="eastAsia" w:ascii="宋体" w:hAnsi="宋体" w:eastAsia="宋体" w:cs="宋体"/>
                <w:szCs w:val="21"/>
                <w:shd w:val="clear" w:color="000000" w:fill="FFFFFF"/>
                <w:lang w:val="en-US" w:eastAsia="zh-CN"/>
              </w:rPr>
              <w:t>15</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lang w:eastAsia="zh-CN"/>
              </w:rPr>
            </w:pPr>
            <w:r>
              <w:rPr>
                <w:rFonts w:hint="eastAsia" w:ascii="宋体" w:hAnsi="宋体" w:eastAsia="宋体" w:cs="宋体"/>
                <w:szCs w:val="21"/>
              </w:rPr>
              <w:t>高</w:t>
            </w:r>
            <w:r>
              <w:rPr>
                <w:rFonts w:hint="eastAsia" w:ascii="宋体" w:hAnsi="宋体" w:eastAsia="宋体" w:cs="宋体"/>
                <w:szCs w:val="21"/>
                <w:lang w:eastAsia="zh-CN"/>
              </w:rPr>
              <w:t>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数学</w:t>
            </w:r>
          </w:p>
        </w:tc>
        <w:tc>
          <w:tcPr>
            <w:tcW w:w="383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shd w:val="clear" w:color="000000" w:fill="FFFFFF"/>
                <w:lang w:val="en-US" w:eastAsia="zh-CN" w:bidi="ar-SA"/>
              </w:rPr>
            </w:pPr>
            <w:r>
              <w:rPr>
                <w:rFonts w:hint="eastAsia" w:ascii="宋体" w:hAnsi="宋体" w:eastAsia="宋体" w:cs="宋体"/>
                <w:szCs w:val="21"/>
                <w:shd w:val="clear" w:color="000000" w:fill="FFFFFF"/>
                <w:lang w:val="en-US" w:eastAsia="zh-CN"/>
              </w:rPr>
              <w:t>16</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心理健康</w:t>
            </w:r>
            <w:r>
              <w:rPr>
                <w:rFonts w:hint="eastAsia" w:ascii="宋体" w:hAnsi="宋体" w:eastAsia="宋体" w:cs="宋体"/>
                <w:szCs w:val="21"/>
                <w:lang w:eastAsia="zh-CN"/>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主要围绕适应能力、心理与心理健康、自我认识、网络与学习、人际交往、恋爱心理、情绪管理等内容开展专题教学活动。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shd w:val="clear" w:color="000000" w:fill="FFFFFF"/>
                <w:lang w:val="en-US" w:eastAsia="zh-CN" w:bidi="ar-SA"/>
              </w:rPr>
            </w:pPr>
            <w:r>
              <w:rPr>
                <w:rFonts w:hint="eastAsia" w:ascii="宋体" w:hAnsi="宋体" w:eastAsia="宋体" w:cs="宋体"/>
                <w:szCs w:val="21"/>
                <w:shd w:val="clear" w:color="000000" w:fill="FFFFFF"/>
                <w:lang w:val="en-US" w:eastAsia="zh-CN"/>
              </w:rPr>
              <w:t>17</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大学生安全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通过学习，使学生了解国家法律法规，学校安全规章和制度，掌握安全知识与防范技能，从而提高学生的安全防范意识和自我保护能力。</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主要围绕安全常识、人身安全、财产安全、网络安全、遵纪守法预防犯罪、交通安全、消防安全、自然灾害安全、国家安全等内容学习。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shd w:val="clear" w:color="000000" w:fill="FFFFFF"/>
                <w:lang w:val="en-US" w:eastAsia="zh-CN" w:bidi="ar-SA"/>
              </w:rPr>
            </w:pPr>
            <w:r>
              <w:rPr>
                <w:rFonts w:hint="eastAsia" w:ascii="宋体" w:hAnsi="宋体" w:eastAsia="宋体" w:cs="宋体"/>
                <w:kern w:val="2"/>
                <w:sz w:val="21"/>
                <w:szCs w:val="21"/>
                <w:shd w:val="clear" w:color="000000" w:fill="FFFFFF"/>
                <w:lang w:val="en-US" w:eastAsia="zh-CN" w:bidi="ar-SA"/>
              </w:rPr>
              <w:t>18</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创新与创业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能够进行创业机会</w:t>
            </w:r>
            <w:r>
              <w:rPr>
                <w:rFonts w:hint="eastAsia" w:ascii="宋体" w:hAnsi="宋体" w:eastAsia="宋体" w:cs="宋体"/>
                <w:szCs w:val="21"/>
                <w:lang w:val="en-US" w:eastAsia="zh-CN"/>
              </w:rPr>
              <w:t>识</w:t>
            </w:r>
            <w:r>
              <w:rPr>
                <w:rFonts w:hint="eastAsia" w:ascii="宋体" w:hAnsi="宋体" w:eastAsia="宋体" w:cs="宋体"/>
                <w:szCs w:val="21"/>
              </w:rPr>
              <w:t>别和分析，树立科学的创新创业观，激发学生的创新创业意识，提高学生的社会责任感和创业精神，促进学生创业、就业全面发展。</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zh-TW" w:eastAsia="zh-TW" w:bidi="ar-SA"/>
              </w:rPr>
            </w:pPr>
            <w:r>
              <w:rPr>
                <w:rFonts w:hint="eastAsia" w:ascii="宋体" w:hAnsi="宋体" w:eastAsia="宋体" w:cs="宋体"/>
                <w:szCs w:val="21"/>
              </w:rPr>
              <w:t>训练创新思维，打造创业团队，识别创业机会，整合创业资源，设计商业模式，创业计划与路演展示等。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2"/>
                <w:sz w:val="21"/>
                <w:szCs w:val="21"/>
                <w:shd w:val="clear" w:color="000000" w:fill="FFFFFF"/>
                <w:lang w:val="en-US" w:eastAsia="zh-CN" w:bidi="ar-SA"/>
              </w:rPr>
            </w:pPr>
            <w:r>
              <w:rPr>
                <w:rFonts w:hint="eastAsia" w:ascii="宋体" w:hAnsi="宋体" w:eastAsia="宋体" w:cs="宋体"/>
                <w:kern w:val="2"/>
                <w:sz w:val="21"/>
                <w:szCs w:val="21"/>
                <w:shd w:val="clear" w:color="000000" w:fill="FFFFFF"/>
                <w:lang w:val="en-US" w:eastAsia="zh-CN" w:bidi="ar-SA"/>
              </w:rPr>
              <w:t>19</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“四史”教育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通过学习帮助学生认识近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pPr>
        <w:pStyle w:val="80"/>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9"/>
        <w:rPr>
          <w:rFonts w:hint="eastAsia" w:ascii="楷体_GB2312" w:hAnsi="楷体_GB2312" w:eastAsia="楷体_GB2312" w:cs="楷体_GB2312"/>
          <w:b w:val="0"/>
          <w:bCs/>
          <w:color w:val="000000" w:themeColor="text1"/>
          <w:sz w:val="28"/>
          <w:szCs w:val="28"/>
          <w14:textFill>
            <w14:solidFill>
              <w14:schemeClr w14:val="tx1"/>
            </w14:solidFill>
          </w14:textFill>
        </w:rPr>
      </w:pPr>
    </w:p>
    <w:p>
      <w:pPr>
        <w:pStyle w:val="80"/>
        <w:outlineLvl w:val="9"/>
        <w:rPr>
          <w:rFonts w:hint="eastAsia" w:ascii="楷体_GB2312" w:hAnsi="楷体_GB2312" w:eastAsia="楷体_GB2312" w:cs="楷体_GB2312"/>
          <w:b w:val="0"/>
          <w:bCs/>
          <w:color w:val="000000" w:themeColor="text1"/>
          <w:sz w:val="28"/>
          <w:szCs w:val="28"/>
          <w14:textFill>
            <w14:solidFill>
              <w14:schemeClr w14:val="tx1"/>
            </w14:solidFill>
          </w14:textFill>
        </w:rPr>
      </w:pPr>
      <w:bookmarkStart w:id="29" w:name="_Toc38299252"/>
      <w:bookmarkStart w:id="30" w:name="_Toc38201839"/>
      <w:bookmarkStart w:id="31" w:name="_Toc27140"/>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二</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专业</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技能</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课设置</w:t>
      </w:r>
      <w:bookmarkEnd w:id="29"/>
      <w:bookmarkEnd w:id="30"/>
      <w:bookmarkEnd w:id="31"/>
    </w:p>
    <w:tbl>
      <w:tblPr>
        <w:tblStyle w:val="27"/>
        <w:tblW w:w="9615"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25"/>
        <w:gridCol w:w="4140"/>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keepNext w:val="0"/>
              <w:keepLines w:val="0"/>
              <w:suppressLineNumbers w:val="0"/>
              <w:spacing w:before="0" w:beforeAutospacing="0" w:after="0" w:afterAutospacing="0" w:line="240" w:lineRule="exact"/>
              <w:ind w:left="-111" w:leftChars="-53" w:right="-107" w:rightChars="-51"/>
              <w:jc w:val="center"/>
              <w:outlineLvl w:val="0"/>
              <w:rPr>
                <w:rFonts w:hint="eastAsia" w:ascii="宋体" w:hAnsi="宋体" w:eastAsia="宋体" w:cs="宋体"/>
                <w:b w:val="0"/>
                <w:bCs/>
                <w:color w:val="000000"/>
                <w:sz w:val="21"/>
                <w:szCs w:val="21"/>
              </w:rPr>
            </w:pPr>
            <w:bookmarkStart w:id="32" w:name="_Toc38201840"/>
            <w:bookmarkStart w:id="33" w:name="_Toc38299253"/>
            <w:r>
              <w:rPr>
                <w:rFonts w:hint="eastAsia" w:ascii="宋体" w:hAnsi="宋体" w:eastAsia="宋体" w:cs="宋体"/>
                <w:b w:val="0"/>
                <w:bCs/>
                <w:color w:val="000000"/>
                <w:sz w:val="21"/>
                <w:szCs w:val="21"/>
              </w:rPr>
              <w:t>序号</w:t>
            </w:r>
          </w:p>
        </w:tc>
        <w:tc>
          <w:tcPr>
            <w:tcW w:w="825" w:type="dxa"/>
            <w:vAlign w:val="center"/>
          </w:tcPr>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课程名称</w:t>
            </w:r>
          </w:p>
        </w:tc>
        <w:tc>
          <w:tcPr>
            <w:tcW w:w="4140" w:type="dxa"/>
            <w:vAlign w:val="center"/>
          </w:tcPr>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课程目标</w:t>
            </w:r>
          </w:p>
        </w:tc>
        <w:tc>
          <w:tcPr>
            <w:tcW w:w="4065" w:type="dxa"/>
            <w:vAlign w:val="center"/>
          </w:tcPr>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课程主要内容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keepNext w:val="0"/>
              <w:keepLines w:val="0"/>
              <w:suppressLineNumbers w:val="0"/>
              <w:spacing w:before="0" w:beforeAutospacing="0" w:after="0" w:afterAutospacing="0" w:line="240" w:lineRule="exact"/>
              <w:ind w:left="0" w:right="0"/>
              <w:jc w:val="center"/>
              <w:outlineLvl w:val="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25"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食品微生物</w:t>
            </w:r>
          </w:p>
        </w:tc>
        <w:tc>
          <w:tcPr>
            <w:tcW w:w="4140"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要求学生掌握微生物的形态特征、生理生化特性、生长繁殖规律、环境因素对微生物生长的影响、微生物的分类、微生物生态、遗传变异与育种基本理论、基本知识；熟练掌握微生物学的基本操作技能，并学会应用这些知识解决生产中的实际问题。</w:t>
            </w:r>
          </w:p>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b/>
                <w:color w:val="000000"/>
                <w:sz w:val="21"/>
                <w:szCs w:val="21"/>
                <w:lang w:eastAsia="zh-CN"/>
              </w:rPr>
            </w:pPr>
          </w:p>
        </w:tc>
        <w:tc>
          <w:tcPr>
            <w:tcW w:w="4065"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1.食品微生物基础知识</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食品微生物概述、食品微生物实验室及检验器材准备</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2.食品微生物基础操作</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各类微生物群体、个体形态，原核、真核微生物细胞结构，微生物简单染色与革兰氏染色技术，微生物营养与培养基</w:t>
            </w:r>
          </w:p>
          <w:p>
            <w:pPr>
              <w:keepNext w:val="0"/>
              <w:keepLines w:val="0"/>
              <w:numPr>
                <w:ilvl w:val="0"/>
                <w:numId w:val="0"/>
              </w:numPr>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食品微生物专项检验</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菌落总数的检验与分析、食品中真菌的分析与检验、大肠菌群检验与分析</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4.食品微生物综合项目检验（任选二）</w:t>
            </w:r>
          </w:p>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乳品微生物检验、肉品微生物检验、粮油</w:t>
            </w:r>
          </w:p>
          <w:p>
            <w:pPr>
              <w:keepNext w:val="0"/>
              <w:keepLines w:val="0"/>
              <w:suppressLineNumbers w:val="0"/>
              <w:spacing w:before="0" w:beforeAutospacing="0" w:after="0" w:afterAutospacing="0" w:line="240" w:lineRule="exact"/>
              <w:ind w:left="0" w:right="0"/>
              <w:jc w:val="both"/>
              <w:outlineLvl w:val="0"/>
              <w:rPr>
                <w:rFonts w:hint="eastAsia" w:ascii="宋体" w:hAnsi="宋体" w:eastAsia="宋体" w:cs="宋体"/>
                <w:b/>
                <w:color w:val="000000"/>
                <w:sz w:val="21"/>
                <w:szCs w:val="21"/>
              </w:rPr>
            </w:pPr>
            <w:r>
              <w:rPr>
                <w:rFonts w:hint="eastAsia" w:ascii="宋体" w:hAnsi="宋体" w:eastAsia="宋体" w:cs="宋体"/>
                <w:color w:val="000000" w:themeColor="text1"/>
                <w:sz w:val="21"/>
                <w:szCs w:val="21"/>
                <w14:textFill>
                  <w14:solidFill>
                    <w14:schemeClr w14:val="tx1"/>
                  </w14:solidFill>
                </w14:textFill>
              </w:rPr>
              <w:t>食品微生物检验、水产品微生物检验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outlineLvl w:val="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25" w:type="dxa"/>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14:textFill>
                  <w14:solidFill>
                    <w14:schemeClr w14:val="tx1"/>
                  </w14:solidFill>
                </w14:textFill>
              </w:rPr>
              <w:t>食品</w:t>
            </w: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应用化学</w:t>
            </w:r>
          </w:p>
        </w:tc>
        <w:tc>
          <w:tcPr>
            <w:tcW w:w="4140"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要求</w:t>
            </w:r>
            <w:r>
              <w:rPr>
                <w:rFonts w:hint="eastAsia" w:ascii="宋体" w:hAnsi="宋体" w:eastAsia="宋体" w:cs="宋体"/>
                <w:color w:val="000000" w:themeColor="text1"/>
                <w:sz w:val="21"/>
                <w:szCs w:val="21"/>
                <w14:textFill>
                  <w14:solidFill>
                    <w14:schemeClr w14:val="tx1"/>
                  </w14:solidFill>
                </w14:textFill>
              </w:rPr>
              <w:t>学生</w:t>
            </w:r>
            <w:r>
              <w:rPr>
                <w:rFonts w:hint="eastAsia" w:ascii="宋体" w:hAnsi="宋体" w:eastAsia="宋体" w:cs="宋体"/>
                <w:color w:val="000000" w:themeColor="text1"/>
                <w:sz w:val="21"/>
                <w:szCs w:val="21"/>
                <w:lang w:eastAsia="zh-CN"/>
                <w14:textFill>
                  <w14:solidFill>
                    <w14:schemeClr w14:val="tx1"/>
                  </w14:solidFill>
                </w14:textFill>
              </w:rPr>
              <w:t>掌握</w:t>
            </w:r>
            <w:r>
              <w:rPr>
                <w:rFonts w:hint="eastAsia" w:ascii="宋体" w:hAnsi="宋体" w:eastAsia="宋体" w:cs="宋体"/>
                <w:color w:val="000000" w:themeColor="text1"/>
                <w:sz w:val="21"/>
                <w:szCs w:val="21"/>
                <w14:textFill>
                  <w14:solidFill>
                    <w14:schemeClr w14:val="tx1"/>
                  </w14:solidFill>
                </w14:textFill>
              </w:rPr>
              <w:t>食品</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主要成分的化学特性、食品微量成分的化学特性、食品在加工贮藏过程中成分的变化、食品风味与呈味物质以及食品添加剂等，具备应用食品化学及相关知识和技术综合分析和解决问题的能力</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为以后从事食品、保健食品的研究开发以及食品生产和食品卫生的管理打下基础。</w:t>
            </w:r>
          </w:p>
        </w:tc>
        <w:tc>
          <w:tcPr>
            <w:tcW w:w="4065" w:type="dxa"/>
            <w:vAlign w:val="center"/>
          </w:tcPr>
          <w:p>
            <w:pPr>
              <w:keepNext w:val="0"/>
              <w:keepLines w:val="0"/>
              <w:numPr>
                <w:ilvl w:val="0"/>
                <w:numId w:val="0"/>
              </w:numPr>
              <w:suppressLineNumbers w:val="0"/>
              <w:snapToGrid w:val="0"/>
              <w:spacing w:before="0" w:beforeAutospacing="0" w:after="0" w:afterAutospacing="0"/>
              <w:ind w:left="0" w:right="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食品中各组分</w:t>
            </w:r>
            <w:r>
              <w:rPr>
                <w:rFonts w:hint="eastAsia" w:ascii="宋体" w:hAnsi="宋体" w:eastAsia="宋体" w:cs="宋体"/>
                <w:sz w:val="21"/>
                <w:szCs w:val="21"/>
                <w:lang w:eastAsia="zh-CN"/>
              </w:rPr>
              <w:t>（</w:t>
            </w:r>
            <w:r>
              <w:rPr>
                <w:rFonts w:hint="eastAsia" w:ascii="宋体" w:hAnsi="宋体" w:eastAsia="宋体" w:cs="宋体"/>
                <w:kern w:val="0"/>
                <w:sz w:val="21"/>
                <w:szCs w:val="21"/>
                <w:lang w:eastAsia="zh-CN"/>
              </w:rPr>
              <w:t>水、糖类、油脂、</w:t>
            </w:r>
            <w:r>
              <w:rPr>
                <w:rFonts w:hint="eastAsia" w:ascii="宋体" w:hAnsi="宋体" w:eastAsia="宋体" w:cs="宋体"/>
                <w:kern w:val="0"/>
                <w:sz w:val="21"/>
                <w:szCs w:val="21"/>
              </w:rPr>
              <w:t>氨基酸、蛋白质</w:t>
            </w:r>
            <w:r>
              <w:rPr>
                <w:rFonts w:hint="eastAsia" w:ascii="宋体" w:hAnsi="宋体" w:eastAsia="宋体" w:cs="宋体"/>
                <w:sz w:val="21"/>
                <w:szCs w:val="21"/>
                <w:lang w:eastAsia="zh-CN"/>
              </w:rPr>
              <w:t>）</w:t>
            </w:r>
            <w:r>
              <w:rPr>
                <w:rFonts w:hint="eastAsia" w:ascii="宋体" w:hAnsi="宋体" w:eastAsia="宋体" w:cs="宋体"/>
                <w:sz w:val="21"/>
                <w:szCs w:val="21"/>
              </w:rPr>
              <w:t>的结构、理化性质、营养、安全性和它们在生产、加工、贮藏、运输、销售过程中发生的变化</w:t>
            </w:r>
          </w:p>
          <w:p>
            <w:pPr>
              <w:keepNext w:val="0"/>
              <w:keepLines w:val="0"/>
              <w:numPr>
                <w:ilvl w:val="0"/>
                <w:numId w:val="0"/>
              </w:numPr>
              <w:suppressLineNumbers w:val="0"/>
              <w:snapToGrid w:val="0"/>
              <w:spacing w:before="0" w:beforeAutospacing="0" w:after="0" w:afterAutospacing="0"/>
              <w:ind w:left="0" w:right="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食品中相关成分的分析检验方法</w:t>
            </w:r>
          </w:p>
          <w:p>
            <w:pPr>
              <w:keepNext w:val="0"/>
              <w:keepLines w:val="0"/>
              <w:numPr>
                <w:ilvl w:val="0"/>
                <w:numId w:val="0"/>
              </w:numPr>
              <w:suppressLineNumbers w:val="0"/>
              <w:snapToGrid w:val="0"/>
              <w:spacing w:before="0" w:beforeAutospacing="0" w:after="0" w:afterAutospacing="0"/>
              <w:ind w:left="0" w:right="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本课程所涉及仪器的工作原理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outlineLvl w:val="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825" w:type="dxa"/>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14:textFill>
                  <w14:solidFill>
                    <w14:schemeClr w14:val="tx1"/>
                  </w14:solidFill>
                </w14:textFill>
              </w:rPr>
              <w:t>食品检验</w:t>
            </w: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与分析</w:t>
            </w:r>
          </w:p>
        </w:tc>
        <w:tc>
          <w:tcPr>
            <w:tcW w:w="4140"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通过对本课程的学习，使学生掌握食品分析检验技术的基本原理和方法。学生通过实验操作的训练，一方面将所学理论与实际相结合，使动手能力得到加强的同时，也可更扎实地掌握食品分析检验技术，另一方面为其今后从事食品科学的研究及其他相关的分析检测工作打下良好基础。</w:t>
            </w:r>
          </w:p>
        </w:tc>
        <w:tc>
          <w:tcPr>
            <w:tcW w:w="4065"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lang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讲授</w:t>
            </w:r>
            <w:r>
              <w:rPr>
                <w:rFonts w:hint="eastAsia" w:ascii="宋体" w:hAnsi="宋体" w:eastAsia="宋体" w:cs="宋体"/>
                <w:color w:val="000000" w:themeColor="text1"/>
                <w:sz w:val="21"/>
                <w:szCs w:val="21"/>
                <w:shd w:val="clear" w:color="000000" w:fill="FFFFFF"/>
                <w14:textFill>
                  <w14:solidFill>
                    <w14:schemeClr w14:val="tx1"/>
                  </w14:solidFill>
                </w14:textFill>
              </w:rPr>
              <w:t>食品</w:t>
            </w: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的</w:t>
            </w:r>
            <w:r>
              <w:rPr>
                <w:rFonts w:hint="eastAsia" w:ascii="宋体" w:hAnsi="宋体" w:eastAsia="宋体" w:cs="宋体"/>
                <w:color w:val="000000" w:themeColor="text1"/>
                <w:sz w:val="21"/>
                <w:szCs w:val="21"/>
                <w:shd w:val="clear" w:color="000000" w:fill="FFFFFF"/>
                <w14:textFill>
                  <w14:solidFill>
                    <w14:schemeClr w14:val="tx1"/>
                  </w14:solidFill>
                </w14:textFill>
              </w:rPr>
              <w:t>物理检验</w:t>
            </w: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、化学检验方法，包括一般成分检验、</w:t>
            </w:r>
            <w:r>
              <w:rPr>
                <w:rFonts w:hint="eastAsia" w:ascii="宋体" w:hAnsi="宋体" w:eastAsia="宋体" w:cs="宋体"/>
                <w:color w:val="000000" w:themeColor="text1"/>
                <w:sz w:val="21"/>
                <w:szCs w:val="21"/>
                <w:shd w:val="clear" w:color="000000" w:fill="FFFFFF"/>
                <w14:textFill>
                  <w14:solidFill>
                    <w14:schemeClr w14:val="tx1"/>
                  </w14:solidFill>
                </w14:textFill>
              </w:rPr>
              <w:t xml:space="preserve"> </w:t>
            </w: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添加剂检验和有害成分检验等。</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firstLine="210" w:firstLineChars="100"/>
              <w:jc w:val="both"/>
              <w:outlineLvl w:val="9"/>
              <w:rPr>
                <w:rFonts w:hint="default"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4</w:t>
            </w:r>
          </w:p>
        </w:tc>
        <w:tc>
          <w:tcPr>
            <w:tcW w:w="825" w:type="dxa"/>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000000" w:themeColor="text1"/>
                <w:sz w:val="21"/>
                <w:szCs w:val="21"/>
                <w:shd w:val="clear" w:color="000000" w:fill="FFFFFF"/>
                <w:lang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食品发酵技术</w:t>
            </w:r>
          </w:p>
        </w:tc>
        <w:tc>
          <w:tcPr>
            <w:tcW w:w="4140"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14:textFill>
                  <w14:solidFill>
                    <w14:schemeClr w14:val="tx1"/>
                  </w14:solidFill>
                </w14:textFill>
              </w:rPr>
              <w:t>让学生掌握食品酿造与发酵的基本理论、基本知识和基本技能，熟悉各种发酵工艺、发酵设备及其性能，培养学生分析问题和解决问题的能力，为今后从事科研、教学、生产和质检工作打下比较牢固的专业基础。</w:t>
            </w:r>
          </w:p>
        </w:tc>
        <w:tc>
          <w:tcPr>
            <w:tcW w:w="4065"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主要介绍</w:t>
            </w:r>
            <w:r>
              <w:rPr>
                <w:rFonts w:hint="eastAsia" w:ascii="宋体" w:hAnsi="宋体" w:eastAsia="宋体" w:cs="宋体"/>
                <w:color w:val="000000" w:themeColor="text1"/>
                <w:sz w:val="21"/>
                <w:szCs w:val="21"/>
                <w:shd w:val="clear" w:color="000000" w:fill="FFFFFF"/>
                <w14:textFill>
                  <w14:solidFill>
                    <w14:schemeClr w14:val="tx1"/>
                  </w14:solidFill>
                </w14:textFill>
              </w:rPr>
              <w:t>果酒</w:t>
            </w: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、啤酒、米酒和调味品的发酵工艺、设备及菌种的特性。</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85" w:type="dxa"/>
          </w:tcPr>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firstLine="210" w:firstLineChars="100"/>
              <w:jc w:val="both"/>
              <w:outlineLvl w:val="9"/>
              <w:rPr>
                <w:rFonts w:hint="default"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5</w:t>
            </w:r>
          </w:p>
        </w:tc>
        <w:tc>
          <w:tcPr>
            <w:tcW w:w="825" w:type="dxa"/>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000000" w:themeColor="text1"/>
                <w:sz w:val="21"/>
                <w:szCs w:val="21"/>
                <w:shd w:val="clear" w:color="000000" w:fill="FFFFFF"/>
                <w:lang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食品加工单元操作</w:t>
            </w:r>
          </w:p>
        </w:tc>
        <w:tc>
          <w:tcPr>
            <w:tcW w:w="4140"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通过学习本课程,要求学生掌握动量、热量和质量传递的基本原理,运用这些理论并结合所学的物理化学和数学等基础知识；研究食品加工过程，熟悉典型单元操作设备的构造、工作原理和工艺和计算。</w:t>
            </w:r>
          </w:p>
        </w:tc>
        <w:tc>
          <w:tcPr>
            <w:tcW w:w="4065"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lang w:eastAsia="zh-CN"/>
                <w14:textFill>
                  <w14:solidFill>
                    <w14:schemeClr w14:val="tx1"/>
                  </w14:solidFill>
                </w14:textFill>
              </w:rPr>
              <w:t>讲解沉降分离、过滤分离、膜分离、混合操作、热交换、蒸发浓缩等重要工序主要特点及其在工业中应用。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jc w:val="center"/>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p>
          <w:p>
            <w:pPr>
              <w:keepNext w:val="0"/>
              <w:keepLines w:val="0"/>
              <w:suppressLineNumbers w:val="0"/>
              <w:snapToGrid w:val="0"/>
              <w:spacing w:before="0" w:beforeAutospacing="0" w:after="0" w:afterAutospacing="0"/>
              <w:ind w:left="0" w:right="0" w:firstLine="210" w:firstLineChars="100"/>
              <w:jc w:val="both"/>
              <w:outlineLvl w:val="9"/>
              <w:rPr>
                <w:rFonts w:hint="default"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6</w:t>
            </w:r>
          </w:p>
        </w:tc>
        <w:tc>
          <w:tcPr>
            <w:tcW w:w="825" w:type="dxa"/>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食品营养与安全</w:t>
            </w:r>
          </w:p>
        </w:tc>
        <w:tc>
          <w:tcPr>
            <w:tcW w:w="4140"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通过本课程的学习，培养学生预防为主的观点，深入理解食物、营养与健康的关系，掌握食品营养学与食品卫生学的基本理论和基本技能，了解学科发展方向，结合生产、生活实际，合理利用食物资源，改善人民营养，预防食品污染、食物中毒和其他食源性疾病，以提高人民健康水平，增进人民体质。</w:t>
            </w:r>
          </w:p>
        </w:tc>
        <w:tc>
          <w:tcPr>
            <w:tcW w:w="4065" w:type="dxa"/>
            <w:vAlign w:val="center"/>
          </w:tcPr>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1.</w:t>
            </w:r>
            <w:r>
              <w:rPr>
                <w:rFonts w:hint="eastAsia" w:ascii="宋体" w:hAnsi="宋体" w:eastAsia="宋体" w:cs="宋体"/>
                <w:color w:val="000000" w:themeColor="text1"/>
                <w:sz w:val="21"/>
                <w:szCs w:val="21"/>
                <w:shd w:val="clear" w:color="000000" w:fill="FFFFFF"/>
                <w14:textFill>
                  <w14:solidFill>
                    <w14:schemeClr w14:val="tx1"/>
                  </w14:solidFill>
                </w14:textFill>
              </w:rPr>
              <w:t>营养学基本原理和基础知识、不同人群食品的营养要求、合理膳食构成、强化食品、保健食品及营养与疾病等。</w:t>
            </w:r>
          </w:p>
          <w:p>
            <w:pPr>
              <w:keepNext w:val="0"/>
              <w:keepLines w:val="0"/>
              <w:suppressLineNumbers w:val="0"/>
              <w:snapToGrid w:val="0"/>
              <w:spacing w:before="0" w:beforeAutospacing="0" w:after="0" w:afterAutospacing="0"/>
              <w:ind w:left="0" w:right="0" w:firstLine="420" w:firstLineChars="200"/>
              <w:jc w:val="left"/>
              <w:outlineLvl w:val="9"/>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000000" w:fill="FFFFFF"/>
                <w:lang w:val="en-US" w:eastAsia="zh-CN"/>
                <w14:textFill>
                  <w14:solidFill>
                    <w14:schemeClr w14:val="tx1"/>
                  </w14:solidFill>
                </w14:textFill>
              </w:rPr>
              <w:t>2.</w:t>
            </w:r>
            <w:r>
              <w:rPr>
                <w:rFonts w:hint="eastAsia" w:ascii="宋体" w:hAnsi="宋体" w:eastAsia="宋体" w:cs="宋体"/>
                <w:color w:val="000000" w:themeColor="text1"/>
                <w:sz w:val="21"/>
                <w:szCs w:val="21"/>
                <w:shd w:val="clear" w:color="000000" w:fill="FFFFFF"/>
                <w14:textFill>
                  <w14:solidFill>
                    <w14:schemeClr w14:val="tx1"/>
                  </w14:solidFill>
                </w14:textFill>
              </w:rPr>
              <w:t>食品中可能存在、威胁人体健康的有害因素及预防措施，提高食品卫生质量，保护食用者安全的措施和法规。</w:t>
            </w:r>
          </w:p>
        </w:tc>
      </w:tr>
    </w:tbl>
    <w:p>
      <w:pPr>
        <w:rPr>
          <w:rFonts w:hint="eastAsia" w:ascii="黑体" w:hAnsi="黑体" w:eastAsia="黑体" w:cs="黑体"/>
          <w:b w:val="0"/>
          <w:bCs/>
          <w:color w:val="000000" w:themeColor="text1"/>
          <w:sz w:val="30"/>
          <w:szCs w:val="30"/>
          <w:lang w:val="en-US" w:eastAsia="zh-CN"/>
          <w14:textFill>
            <w14:solidFill>
              <w14:schemeClr w14:val="tx1"/>
            </w14:solidFill>
          </w14:textFill>
        </w:rPr>
      </w:pPr>
      <w:r>
        <w:rPr>
          <w:rFonts w:hint="eastAsia" w:ascii="黑体" w:hAnsi="黑体" w:eastAsia="黑体" w:cs="黑体"/>
          <w:b w:val="0"/>
          <w:bCs/>
          <w:color w:val="000000" w:themeColor="text1"/>
          <w:sz w:val="30"/>
          <w:szCs w:val="30"/>
          <w:lang w:val="en-US" w:eastAsia="zh-CN"/>
          <w14:textFill>
            <w14:solidFill>
              <w14:schemeClr w14:val="tx1"/>
            </w14:solidFill>
          </w14:textFill>
        </w:rPr>
        <w:br w:type="page"/>
      </w:r>
    </w:p>
    <w:p>
      <w:pPr>
        <w:pStyle w:val="35"/>
        <w:keepNext w:val="0"/>
        <w:keepLines w:val="0"/>
        <w:pageBreakBefore w:val="0"/>
        <w:widowControl w:val="0"/>
        <w:kinsoku/>
        <w:wordWrap/>
        <w:overflowPunct/>
        <w:topLinePunct w:val="0"/>
        <w:autoSpaceDE/>
        <w:autoSpaceDN/>
        <w:bidi w:val="0"/>
        <w:adjustRightInd/>
        <w:snapToGrid w:val="0"/>
        <w:spacing w:line="560" w:lineRule="exact"/>
        <w:ind w:left="319" w:leftChars="152" w:firstLine="300" w:firstLineChars="100"/>
        <w:textAlignment w:val="auto"/>
        <w:outlineLvl w:val="0"/>
        <w:rPr>
          <w:rFonts w:hint="eastAsia" w:ascii="黑体" w:hAnsi="黑体" w:eastAsia="黑体" w:cs="黑体"/>
          <w:b w:val="0"/>
          <w:bCs/>
          <w:color w:val="000000" w:themeColor="text1"/>
          <w:sz w:val="30"/>
          <w:szCs w:val="30"/>
          <w14:textFill>
            <w14:solidFill>
              <w14:schemeClr w14:val="tx1"/>
            </w14:solidFill>
          </w14:textFill>
        </w:rPr>
      </w:pPr>
      <w:bookmarkStart w:id="34" w:name="_Toc16060"/>
      <w:r>
        <w:rPr>
          <w:rFonts w:hint="eastAsia" w:ascii="黑体" w:hAnsi="黑体" w:eastAsia="黑体" w:cs="黑体"/>
          <w:b w:val="0"/>
          <w:bCs/>
          <w:color w:val="000000" w:themeColor="text1"/>
          <w:sz w:val="30"/>
          <w:szCs w:val="30"/>
          <w:lang w:val="en-US" w:eastAsia="zh-CN"/>
          <w14:textFill>
            <w14:solidFill>
              <w14:schemeClr w14:val="tx1"/>
            </w14:solidFill>
          </w14:textFill>
        </w:rPr>
        <w:t>七、</w:t>
      </w:r>
      <w:r>
        <w:rPr>
          <w:rFonts w:hint="eastAsia" w:ascii="黑体" w:hAnsi="黑体" w:eastAsia="黑体" w:cs="黑体"/>
          <w:b w:val="0"/>
          <w:bCs/>
          <w:color w:val="000000" w:themeColor="text1"/>
          <w:sz w:val="30"/>
          <w:szCs w:val="30"/>
          <w14:textFill>
            <w14:solidFill>
              <w14:schemeClr w14:val="tx1"/>
            </w14:solidFill>
          </w14:textFill>
        </w:rPr>
        <w:t>教学进程总体安排</w:t>
      </w:r>
      <w:bookmarkEnd w:id="34"/>
    </w:p>
    <w:p>
      <w:pPr>
        <w:pStyle w:val="84"/>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1"/>
        <w:rPr>
          <w:rFonts w:hint="eastAsia" w:ascii="楷体_GB2312" w:hAnsi="楷体_GB2312" w:eastAsia="楷体_GB2312" w:cs="楷体_GB2312"/>
          <w:b w:val="0"/>
          <w:bCs/>
          <w:color w:val="000000" w:themeColor="text1"/>
          <w:sz w:val="30"/>
          <w:szCs w:val="30"/>
          <w14:textFill>
            <w14:solidFill>
              <w14:schemeClr w14:val="tx1"/>
            </w14:solidFill>
          </w14:textFill>
        </w:rPr>
      </w:pPr>
      <w:bookmarkStart w:id="35" w:name="_Toc18477"/>
      <w:r>
        <w:rPr>
          <w:rFonts w:hint="eastAsia" w:ascii="楷体_GB2312" w:hAnsi="楷体_GB2312" w:eastAsia="楷体_GB2312" w:cs="楷体_GB2312"/>
          <w:b w:val="0"/>
          <w:bCs/>
          <w:color w:val="000000" w:themeColor="text1"/>
          <w:sz w:val="30"/>
          <w:szCs w:val="30"/>
          <w:lang w:eastAsia="zh-CN"/>
          <w14:textFill>
            <w14:solidFill>
              <w14:schemeClr w14:val="tx1"/>
            </w14:solidFill>
          </w14:textFill>
        </w:rPr>
        <w:t>（</w:t>
      </w:r>
      <w:r>
        <w:rPr>
          <w:rFonts w:hint="eastAsia" w:ascii="楷体_GB2312" w:hAnsi="楷体_GB2312" w:eastAsia="楷体_GB2312" w:cs="楷体_GB2312"/>
          <w:b w:val="0"/>
          <w:bCs/>
          <w:color w:val="000000" w:themeColor="text1"/>
          <w:sz w:val="30"/>
          <w:szCs w:val="30"/>
          <w:lang w:val="en-US" w:eastAsia="zh-CN"/>
          <w14:textFill>
            <w14:solidFill>
              <w14:schemeClr w14:val="tx1"/>
            </w14:solidFill>
          </w14:textFill>
        </w:rPr>
        <w:t>一</w:t>
      </w:r>
      <w:r>
        <w:rPr>
          <w:rFonts w:hint="eastAsia" w:ascii="楷体_GB2312" w:hAnsi="楷体_GB2312" w:eastAsia="楷体_GB2312" w:cs="楷体_GB2312"/>
          <w:b w:val="0"/>
          <w:bCs/>
          <w:color w:val="000000" w:themeColor="text1"/>
          <w:sz w:val="30"/>
          <w:szCs w:val="30"/>
          <w:lang w:eastAsia="zh-CN"/>
          <w14:textFill>
            <w14:solidFill>
              <w14:schemeClr w14:val="tx1"/>
            </w14:solidFill>
          </w14:textFill>
        </w:rPr>
        <w:t>）</w:t>
      </w:r>
      <w:r>
        <w:rPr>
          <w:rFonts w:hint="eastAsia" w:ascii="楷体_GB2312" w:hAnsi="楷体_GB2312" w:eastAsia="楷体_GB2312" w:cs="楷体_GB2312"/>
          <w:b w:val="0"/>
          <w:bCs/>
          <w:color w:val="000000" w:themeColor="text1"/>
          <w:sz w:val="30"/>
          <w:szCs w:val="30"/>
          <w14:textFill>
            <w14:solidFill>
              <w14:schemeClr w14:val="tx1"/>
            </w14:solidFill>
          </w14:textFill>
        </w:rPr>
        <w:t>教育教学时间安排表</w:t>
      </w:r>
      <w:bookmarkEnd w:id="35"/>
    </w:p>
    <w:tbl>
      <w:tblPr>
        <w:tblStyle w:val="27"/>
        <w:tblW w:w="879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0"/>
        <w:gridCol w:w="916"/>
        <w:gridCol w:w="916"/>
        <w:gridCol w:w="916"/>
        <w:gridCol w:w="916"/>
        <w:gridCol w:w="9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教育教学活动</w:t>
            </w:r>
          </w:p>
        </w:tc>
        <w:tc>
          <w:tcPr>
            <w:tcW w:w="5762" w:type="dxa"/>
            <w:gridSpan w:val="6"/>
            <w:tcBorders>
              <w:top w:val="single" w:color="000000" w:sz="4" w:space="0"/>
              <w:left w:val="single" w:color="auto" w:sz="4" w:space="0"/>
              <w:bottom w:val="single" w:color="000000" w:sz="4" w:space="0"/>
              <w:right w:val="single" w:color="000000" w:sz="4" w:space="0"/>
            </w:tcBorders>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各学期周数分配（周）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0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w:t>
            </w:r>
          </w:p>
        </w:tc>
        <w:tc>
          <w:tcPr>
            <w:tcW w:w="91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w:t>
            </w:r>
          </w:p>
        </w:tc>
        <w:tc>
          <w:tcPr>
            <w:tcW w:w="117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课程教学（理论、实践）</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w:t>
            </w:r>
          </w:p>
        </w:tc>
        <w:tc>
          <w:tcPr>
            <w:tcW w:w="919"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1179"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阶段性实践教学</w:t>
            </w: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9" w:type="dxa"/>
            <w:vMerge w:val="continue"/>
            <w:tcBorders>
              <w:left w:val="single" w:color="auto" w:sz="4" w:space="0"/>
              <w:right w:val="single" w:color="auto" w:sz="4" w:space="0"/>
            </w:tcBorders>
          </w:tcPr>
          <w:p>
            <w:pPr>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tcPr>
          <w:p>
            <w:pPr>
              <w:spacing w:line="360" w:lineRule="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职业技能培训及技能鉴定</w:t>
            </w: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9"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复习与考试</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9"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179" w:type="dxa"/>
            <w:vMerge w:val="continue"/>
            <w:tcBorders>
              <w:left w:val="single" w:color="auto" w:sz="4" w:space="0"/>
              <w:right w:val="single" w:color="000000" w:sz="4" w:space="0"/>
            </w:tcBorders>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劳动实践</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/机动</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179" w:type="dxa"/>
            <w:vMerge w:val="continue"/>
            <w:tcBorders>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军训（入学教育）</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顶岗实习</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1179" w:type="dxa"/>
            <w:vMerge w:val="continue"/>
            <w:tcBorders>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r>
    </w:tbl>
    <w:p>
      <w:pPr>
        <w:pStyle w:val="84"/>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1"/>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bookmarkStart w:id="36" w:name="_Toc20608"/>
      <w:r>
        <w:rPr>
          <w:rFonts w:hint="eastAsia" w:ascii="楷体_GB2312" w:hAnsi="楷体_GB2312" w:eastAsia="楷体_GB2312" w:cs="楷体_GB2312"/>
          <w:b w:val="0"/>
          <w:bCs/>
          <w:color w:val="000000" w:themeColor="text1"/>
          <w:sz w:val="30"/>
          <w:szCs w:val="30"/>
          <w:lang w:eastAsia="zh-CN"/>
          <w14:textFill>
            <w14:solidFill>
              <w14:schemeClr w14:val="tx1"/>
            </w14:solidFill>
          </w14:textFill>
        </w:rPr>
        <w:t>（</w:t>
      </w:r>
      <w:r>
        <w:rPr>
          <w:rFonts w:hint="eastAsia" w:ascii="楷体_GB2312" w:hAnsi="楷体_GB2312" w:eastAsia="楷体_GB2312" w:cs="楷体_GB2312"/>
          <w:b w:val="0"/>
          <w:bCs/>
          <w:color w:val="000000" w:themeColor="text1"/>
          <w:sz w:val="30"/>
          <w:szCs w:val="30"/>
          <w:lang w:val="en-US" w:eastAsia="zh-CN"/>
          <w14:textFill>
            <w14:solidFill>
              <w14:schemeClr w14:val="tx1"/>
            </w14:solidFill>
          </w14:textFill>
        </w:rPr>
        <w:t>二</w:t>
      </w:r>
      <w:r>
        <w:rPr>
          <w:rFonts w:hint="eastAsia" w:ascii="楷体_GB2312" w:hAnsi="楷体_GB2312" w:eastAsia="楷体_GB2312" w:cs="楷体_GB2312"/>
          <w:b w:val="0"/>
          <w:bCs/>
          <w:color w:val="000000" w:themeColor="text1"/>
          <w:sz w:val="30"/>
          <w:szCs w:val="30"/>
          <w:lang w:eastAsia="zh-CN"/>
          <w14:textFill>
            <w14:solidFill>
              <w14:schemeClr w14:val="tx1"/>
            </w14:solidFill>
          </w14:textFill>
        </w:rPr>
        <w:t>）理论与实践教学学时分配表</w:t>
      </w:r>
      <w:bookmarkEnd w:id="36"/>
    </w:p>
    <w:tbl>
      <w:tblPr>
        <w:tblStyle w:val="27"/>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1795"/>
        <w:gridCol w:w="992"/>
        <w:gridCol w:w="1417"/>
        <w:gridCol w:w="1134"/>
        <w:gridCol w:w="113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7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课  程  分  类</w:t>
            </w:r>
          </w:p>
        </w:tc>
        <w:tc>
          <w:tcPr>
            <w:tcW w:w="992" w:type="dxa"/>
            <w:vMerge w:val="restart"/>
            <w:tcBorders>
              <w:top w:val="single" w:color="000000"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总学时</w:t>
            </w:r>
          </w:p>
        </w:tc>
        <w:tc>
          <w:tcPr>
            <w:tcW w:w="2551"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理  论  教  学</w:t>
            </w:r>
          </w:p>
        </w:tc>
        <w:tc>
          <w:tcPr>
            <w:tcW w:w="2425"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实  践  教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276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p>
        </w:tc>
        <w:tc>
          <w:tcPr>
            <w:tcW w:w="1417"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 时</w:t>
            </w:r>
          </w:p>
        </w:tc>
        <w:tc>
          <w:tcPr>
            <w:tcW w:w="113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学时比例%</w:t>
            </w:r>
          </w:p>
        </w:tc>
        <w:tc>
          <w:tcPr>
            <w:tcW w:w="1132"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 时</w:t>
            </w:r>
          </w:p>
        </w:tc>
        <w:tc>
          <w:tcPr>
            <w:tcW w:w="1293"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969" w:type="dxa"/>
            <w:vMerge w:val="restart"/>
            <w:tcBorders>
              <w:top w:val="single" w:color="auto" w:sz="4" w:space="0"/>
              <w:left w:val="single" w:color="000000" w:sz="4" w:space="0"/>
              <w:bottom w:val="single" w:color="auto" w:sz="4" w:space="0"/>
              <w:right w:val="single" w:color="000000" w:sz="4" w:space="0"/>
            </w:tcBorders>
            <w:vAlign w:val="center"/>
          </w:tcPr>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w:t>
            </w:r>
          </w:p>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修</w:t>
            </w:r>
          </w:p>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w:t>
            </w: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702</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430</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61.2</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vAlign w:val="center"/>
          </w:tcPr>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1608</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446</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27.7</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1162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9" w:type="dxa"/>
            <w:vMerge w:val="restart"/>
            <w:tcBorders>
              <w:top w:val="single" w:color="auto" w:sz="4" w:space="0"/>
              <w:left w:val="single" w:color="000000" w:sz="4" w:space="0"/>
              <w:bottom w:val="single" w:color="000000" w:sz="4" w:space="0"/>
              <w:right w:val="single" w:color="000000" w:sz="4" w:space="0"/>
            </w:tcBorders>
            <w:vAlign w:val="center"/>
          </w:tcPr>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w:t>
            </w:r>
          </w:p>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修</w:t>
            </w:r>
          </w:p>
          <w:p>
            <w:pPr>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w:t>
            </w: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96</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64</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66.7</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336</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192</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57.1</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144</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2742</w:t>
            </w:r>
          </w:p>
        </w:tc>
        <w:tc>
          <w:tcPr>
            <w:tcW w:w="141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1132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41.3</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1610</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798</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公共基础课学时比例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选修课教学总学时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428</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选修课教学学时比例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15.6</w:t>
            </w:r>
          </w:p>
        </w:tc>
      </w:tr>
    </w:tbl>
    <w:p>
      <w:pPr>
        <w:spacing w:line="360" w:lineRule="auto"/>
        <w:ind w:firstLine="422"/>
        <w:jc w:val="center"/>
        <w:outlineLvl w:val="9"/>
        <w:rPr>
          <w:rFonts w:ascii="宋体" w:hAnsi="宋体"/>
          <w:b/>
          <w:color w:val="000000" w:themeColor="text1"/>
          <w14:textFill>
            <w14:solidFill>
              <w14:schemeClr w14:val="tx1"/>
            </w14:solidFill>
          </w14:textFill>
        </w:rPr>
        <w:sectPr>
          <w:footerReference r:id="rId4" w:type="default"/>
          <w:pgSz w:w="11906" w:h="16838"/>
          <w:pgMar w:top="2098" w:right="1474" w:bottom="1984" w:left="1587" w:header="851" w:footer="992" w:gutter="0"/>
          <w:pgNumType w:fmt="decimal"/>
          <w:cols w:space="720" w:num="1"/>
          <w:docGrid w:type="lines" w:linePitch="312" w:charSpace="0"/>
        </w:sectPr>
      </w:pPr>
    </w:p>
    <w:p>
      <w:pPr>
        <w:pStyle w:val="84"/>
        <w:outlineLvl w:val="1"/>
        <w:rPr>
          <w:rFonts w:hint="eastAsia" w:ascii="楷体_GB2312" w:hAnsi="楷体_GB2312" w:eastAsia="楷体_GB2312" w:cs="楷体_GB2312"/>
          <w:b w:val="0"/>
          <w:bCs/>
          <w:color w:val="000000" w:themeColor="text1"/>
          <w:sz w:val="28"/>
          <w:szCs w:val="28"/>
          <w14:textFill>
            <w14:solidFill>
              <w14:schemeClr w14:val="tx1"/>
            </w14:solidFill>
          </w14:textFill>
        </w:rPr>
      </w:pPr>
      <w:bookmarkStart w:id="37" w:name="_Toc22338"/>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三</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教学进度安排计划表----必修课程设置及学分、学时、进程表</w:t>
      </w:r>
      <w:bookmarkEnd w:id="37"/>
    </w:p>
    <w:tbl>
      <w:tblPr>
        <w:tblStyle w:val="28"/>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475"/>
        <w:gridCol w:w="535"/>
        <w:gridCol w:w="1222"/>
        <w:gridCol w:w="2259"/>
        <w:gridCol w:w="693"/>
        <w:gridCol w:w="658"/>
        <w:gridCol w:w="642"/>
        <w:gridCol w:w="522"/>
        <w:gridCol w:w="522"/>
        <w:gridCol w:w="522"/>
        <w:gridCol w:w="583"/>
        <w:gridCol w:w="583"/>
        <w:gridCol w:w="583"/>
        <w:gridCol w:w="583"/>
        <w:gridCol w:w="583"/>
        <w:gridCol w:w="588"/>
        <w:gridCol w:w="386"/>
        <w:gridCol w:w="106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949" w:type="dxa"/>
            <w:gridSpan w:val="2"/>
            <w:vMerge w:val="restart"/>
            <w:vAlign w:val="center"/>
          </w:tcPr>
          <w:p>
            <w:pPr>
              <w:widowControl/>
              <w:jc w:val="center"/>
              <w:textAlignment w:val="center"/>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课程</w:t>
            </w:r>
          </w:p>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类别</w:t>
            </w:r>
          </w:p>
        </w:tc>
        <w:tc>
          <w:tcPr>
            <w:tcW w:w="535"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序号</w:t>
            </w:r>
          </w:p>
        </w:tc>
        <w:tc>
          <w:tcPr>
            <w:tcW w:w="1222"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课程代码</w:t>
            </w:r>
          </w:p>
        </w:tc>
        <w:tc>
          <w:tcPr>
            <w:tcW w:w="2259"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课程名称</w:t>
            </w:r>
          </w:p>
        </w:tc>
        <w:tc>
          <w:tcPr>
            <w:tcW w:w="1351" w:type="dxa"/>
            <w:gridSpan w:val="2"/>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课程性质</w:t>
            </w:r>
          </w:p>
        </w:tc>
        <w:tc>
          <w:tcPr>
            <w:tcW w:w="642"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学分</w:t>
            </w:r>
          </w:p>
        </w:tc>
        <w:tc>
          <w:tcPr>
            <w:tcW w:w="1566" w:type="dxa"/>
            <w:gridSpan w:val="3"/>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教学课时</w:t>
            </w:r>
          </w:p>
        </w:tc>
        <w:tc>
          <w:tcPr>
            <w:tcW w:w="3503" w:type="dxa"/>
            <w:gridSpan w:val="6"/>
            <w:vAlign w:val="center"/>
          </w:tcPr>
          <w:p>
            <w:pPr>
              <w:widowControl/>
              <w:jc w:val="center"/>
              <w:textAlignment w:val="center"/>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教学进程(学期、教学活动周数</w:t>
            </w:r>
          </w:p>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课堂教学周数）</w:t>
            </w:r>
          </w:p>
        </w:tc>
        <w:tc>
          <w:tcPr>
            <w:tcW w:w="386" w:type="dxa"/>
            <w:vMerge w:val="restart"/>
            <w:vAlign w:val="center"/>
          </w:tcPr>
          <w:p>
            <w:pPr>
              <w:widowControl/>
              <w:jc w:val="center"/>
              <w:textAlignment w:val="center"/>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课程</w:t>
            </w:r>
          </w:p>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考核</w:t>
            </w:r>
          </w:p>
        </w:tc>
        <w:tc>
          <w:tcPr>
            <w:tcW w:w="1061" w:type="dxa"/>
            <w:vMerge w:val="restart"/>
            <w:vAlign w:val="center"/>
          </w:tcPr>
          <w:p>
            <w:pPr>
              <w:widowControl/>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开课</w:t>
            </w:r>
          </w:p>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部门</w:t>
            </w:r>
          </w:p>
        </w:tc>
        <w:tc>
          <w:tcPr>
            <w:tcW w:w="1312"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49" w:type="dxa"/>
            <w:gridSpan w:val="2"/>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2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2259"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93" w:type="dxa"/>
            <w:vMerge w:val="restart"/>
            <w:vAlign w:val="center"/>
          </w:tcPr>
          <w:p>
            <w:pPr>
              <w:widowControl/>
              <w:jc w:val="center"/>
              <w:textAlignment w:val="center"/>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课程</w:t>
            </w:r>
          </w:p>
          <w:p>
            <w:pPr>
              <w:widowControl/>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类型(A/B</w:t>
            </w:r>
          </w:p>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Merge w:val="restart"/>
            <w:vAlign w:val="center"/>
          </w:tcPr>
          <w:p>
            <w:pPr>
              <w:widowControl/>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是否</w:t>
            </w:r>
          </w:p>
          <w:p>
            <w:pPr>
              <w:widowControl/>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理实</w:t>
            </w:r>
          </w:p>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一体</w:t>
            </w:r>
          </w:p>
        </w:tc>
        <w:tc>
          <w:tcPr>
            <w:tcW w:w="64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总计</w:t>
            </w:r>
          </w:p>
        </w:tc>
        <w:tc>
          <w:tcPr>
            <w:tcW w:w="522"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理论</w:t>
            </w:r>
          </w:p>
        </w:tc>
        <w:tc>
          <w:tcPr>
            <w:tcW w:w="522" w:type="dxa"/>
            <w:vMerge w:val="restar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实践</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1学期</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2学期</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3学期</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4学期</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5学期</w:t>
            </w: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6学期</w:t>
            </w:r>
          </w:p>
        </w:tc>
        <w:tc>
          <w:tcPr>
            <w:tcW w:w="386"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061"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jc w:val="center"/>
        </w:trPr>
        <w:tc>
          <w:tcPr>
            <w:tcW w:w="949" w:type="dxa"/>
            <w:gridSpan w:val="2"/>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2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2259"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93"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58"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20</w:t>
            </w:r>
          </w:p>
        </w:tc>
        <w:tc>
          <w:tcPr>
            <w:tcW w:w="588" w:type="dxa"/>
            <w:vAlign w:val="center"/>
          </w:tcPr>
          <w:p>
            <w:pPr>
              <w:widowControl/>
              <w:jc w:val="center"/>
              <w:textAlignment w:val="center"/>
              <w:outlineLvl w:val="9"/>
              <w:rPr>
                <w:rFonts w:hint="eastAsia" w:ascii="楷体_GB2312" w:hAnsi="楷体_GB2312" w:eastAsia="宋体"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6</w:t>
            </w:r>
          </w:p>
        </w:tc>
        <w:tc>
          <w:tcPr>
            <w:tcW w:w="386"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061"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949" w:type="dxa"/>
            <w:gridSpan w:val="2"/>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2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2259"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93"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58"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2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6</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18</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18</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18</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18</w:t>
            </w:r>
          </w:p>
        </w:tc>
        <w:tc>
          <w:tcPr>
            <w:tcW w:w="588" w:type="dxa"/>
            <w:vAlign w:val="center"/>
          </w:tcPr>
          <w:p>
            <w:pPr>
              <w:widowControl/>
              <w:jc w:val="center"/>
              <w:textAlignment w:val="center"/>
              <w:outlineLvl w:val="9"/>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6</w:t>
            </w:r>
          </w:p>
        </w:tc>
        <w:tc>
          <w:tcPr>
            <w:tcW w:w="386"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061"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公    共    基    础    课</w:t>
            </w:r>
          </w:p>
        </w:tc>
        <w:tc>
          <w:tcPr>
            <w:tcW w:w="475" w:type="dxa"/>
            <w:vMerge w:val="restart"/>
            <w:textDirection w:val="tbRlV"/>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公    共    必    修    课</w:t>
            </w: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222"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14501184001</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形势与政策I</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0.25</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14501184002</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形势与政策II</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0.25</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14501184003</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形势与政策III</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0.25</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14501184004</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形势与政策IV</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0.25</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14501184005</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形势与政策（专题）</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5</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14501184006</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军训Ⅱ</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90</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90</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C</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学生</w:t>
            </w:r>
          </w:p>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工作处</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14501184007</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军事理论</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E</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学生</w:t>
            </w:r>
          </w:p>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工作处</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14501184008</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劳动教育</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E</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学生</w:t>
            </w:r>
          </w:p>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工作处</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15"/>
                <w:szCs w:val="15"/>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14501184009</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思想道德与法治</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B</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22" w:type="dxa"/>
            <w:vAlign w:val="center"/>
          </w:tcPr>
          <w:p>
            <w:pPr>
              <w:jc w:val="center"/>
              <w:outlineLvl w:val="1"/>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14501184010</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思想政治理论课</w:t>
            </w:r>
          </w:p>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实践教学</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C</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222" w:type="dxa"/>
            <w:vAlign w:val="center"/>
          </w:tcPr>
          <w:p>
            <w:pPr>
              <w:jc w:val="center"/>
              <w:outlineLvl w:val="1"/>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14501184011</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铸牢中华民族</w:t>
            </w:r>
          </w:p>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共同体意识</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马克思主义教学部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公    共    基    础    课</w:t>
            </w:r>
          </w:p>
        </w:tc>
        <w:tc>
          <w:tcPr>
            <w:tcW w:w="475" w:type="dxa"/>
            <w:vMerge w:val="restart"/>
            <w:textDirection w:val="tbRlV"/>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公    共    必    修    课</w:t>
            </w:r>
          </w:p>
        </w:tc>
        <w:tc>
          <w:tcPr>
            <w:tcW w:w="535" w:type="dxa"/>
            <w:vAlign w:val="bottom"/>
          </w:tcPr>
          <w:p>
            <w:pPr>
              <w:pStyle w:val="84"/>
              <w:jc w:val="center"/>
              <w:outlineLvl w:val="1"/>
              <w:rPr>
                <w:rFonts w:hint="default" w:ascii="楷体_GB2312" w:hAnsi="楷体_GB2312" w:eastAsia="楷体_GB2312" w:cs="楷体_GB2312"/>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12</w:t>
            </w:r>
          </w:p>
        </w:tc>
        <w:tc>
          <w:tcPr>
            <w:tcW w:w="1222" w:type="dxa"/>
            <w:vAlign w:val="center"/>
          </w:tcPr>
          <w:p>
            <w:pPr>
              <w:jc w:val="center"/>
              <w:outlineLvl w:val="1"/>
              <w:rPr>
                <w:rFonts w:hint="default" w:ascii="楷体_GB2312" w:hAnsi="楷体_GB2312" w:eastAsia="楷体_GB2312" w:cs="楷体_GB2312"/>
                <w:b w:val="0"/>
                <w:bCs/>
                <w:color w:val="000000" w:themeColor="text1"/>
                <w:kern w:val="2"/>
                <w:sz w:val="28"/>
                <w:szCs w:val="28"/>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14501184012</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习近平新时代</w:t>
            </w:r>
            <w:r>
              <w:rPr>
                <w:rFonts w:hint="eastAsia" w:ascii="宋体" w:hAnsi="宋体" w:eastAsia="宋体" w:cs="宋体"/>
                <w:color w:val="000000" w:themeColor="text1"/>
                <w:kern w:val="0"/>
                <w:sz w:val="21"/>
                <w:szCs w:val="21"/>
                <w:highlight w:val="none"/>
                <w14:textFill>
                  <w14:solidFill>
                    <w14:schemeClr w14:val="tx1"/>
                  </w14:solidFill>
                </w14:textFill>
              </w:rPr>
              <w:t>中国特色社会主义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思想</w:t>
            </w:r>
            <w:r>
              <w:rPr>
                <w:rFonts w:hint="eastAsia" w:ascii="宋体" w:hAnsi="宋体" w:eastAsia="宋体" w:cs="宋体"/>
                <w:color w:val="000000" w:themeColor="text1"/>
                <w:kern w:val="0"/>
                <w:sz w:val="21"/>
                <w:szCs w:val="21"/>
                <w:highlight w:val="none"/>
                <w14:textFill>
                  <w14:solidFill>
                    <w14:schemeClr w14:val="tx1"/>
                  </w14:solidFill>
                </w14:textFill>
              </w:rPr>
              <w:t>概论</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522" w:type="dxa"/>
            <w:vAlign w:val="center"/>
          </w:tcPr>
          <w:p>
            <w:pPr>
              <w:widowControl/>
              <w:jc w:val="center"/>
              <w:textAlignment w:val="center"/>
              <w:outlineLvl w:val="9"/>
              <w:rPr>
                <w:rFonts w:hint="default" w:ascii="楷体_GB2312" w:hAnsi="楷体_GB2312" w:eastAsia="楷体_GB2312" w:cs="楷体_GB2312"/>
                <w:b w:val="0"/>
                <w:bCs/>
                <w:color w:val="000000" w:themeColor="text1"/>
                <w:sz w:val="28"/>
                <w:szCs w:val="28"/>
                <w:highlight w:val="none"/>
                <w:vertAlign w:val="baseli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48</w:t>
            </w:r>
          </w:p>
        </w:tc>
        <w:tc>
          <w:tcPr>
            <w:tcW w:w="522" w:type="dxa"/>
            <w:vAlign w:val="center"/>
          </w:tcPr>
          <w:p>
            <w:pPr>
              <w:widowControl/>
              <w:jc w:val="center"/>
              <w:textAlignment w:val="center"/>
              <w:outlineLvl w:val="9"/>
              <w:rPr>
                <w:rFonts w:hint="default" w:ascii="楷体_GB2312" w:hAnsi="楷体_GB2312" w:eastAsia="楷体_GB2312" w:cs="楷体_GB2312"/>
                <w:b w:val="0"/>
                <w:bCs/>
                <w:color w:val="000000" w:themeColor="text1"/>
                <w:sz w:val="28"/>
                <w:szCs w:val="28"/>
                <w:highlight w:val="none"/>
                <w:vertAlign w:val="baseli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B</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马克思主义教学部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c>
          <w:tcPr>
            <w:tcW w:w="1222" w:type="dxa"/>
            <w:vAlign w:val="center"/>
          </w:tcPr>
          <w:p>
            <w:pPr>
              <w:jc w:val="center"/>
              <w:outlineLvl w:val="1"/>
              <w:rPr>
                <w:rFonts w:hint="default" w:ascii="楷体_GB2312" w:hAnsi="楷体_GB2312" w:eastAsia="楷体_GB2312" w:cs="楷体_GB2312"/>
                <w:b w:val="0"/>
                <w:bCs/>
                <w:color w:val="000000" w:themeColor="text1"/>
                <w:kern w:val="2"/>
                <w:sz w:val="28"/>
                <w:szCs w:val="28"/>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14501184013</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毛泽东思想和中国特色社会主义理论体系概论</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522" w:type="dxa"/>
            <w:vAlign w:val="center"/>
          </w:tcPr>
          <w:p>
            <w:pPr>
              <w:widowControl/>
              <w:jc w:val="center"/>
              <w:textAlignment w:val="center"/>
              <w:outlineLvl w:val="9"/>
              <w:rPr>
                <w:rFonts w:hint="default" w:ascii="楷体_GB2312" w:hAnsi="楷体_GB2312" w:eastAsia="楷体_GB2312" w:cs="楷体_GB2312"/>
                <w:b w:val="0"/>
                <w:bCs/>
                <w:color w:val="000000" w:themeColor="text1"/>
                <w:sz w:val="28"/>
                <w:szCs w:val="28"/>
                <w:highlight w:val="none"/>
                <w:vertAlign w:val="baseli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default" w:ascii="楷体_GB2312" w:hAnsi="楷体_GB2312" w:eastAsia="楷体_GB2312" w:cs="楷体_GB2312"/>
                <w:b w:val="0"/>
                <w:bCs/>
                <w:color w:val="000000" w:themeColor="text1"/>
                <w:sz w:val="28"/>
                <w:szCs w:val="28"/>
                <w:highlight w:val="none"/>
                <w:vertAlign w:val="baseli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B</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马克思主义教学部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c>
          <w:tcPr>
            <w:tcW w:w="1222" w:type="dxa"/>
            <w:vAlign w:val="center"/>
          </w:tcPr>
          <w:p>
            <w:pPr>
              <w:jc w:val="center"/>
              <w:outlineLvl w:val="1"/>
              <w:rPr>
                <w:rFonts w:hint="default"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14501184014</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职业发展与就业指导</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14</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14501184015</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高职英语</w:t>
            </w:r>
            <w:r>
              <w:rPr>
                <w:rFonts w:hint="eastAsia" w:ascii="宋体" w:hAnsi="宋体" w:eastAsia="宋体" w:cs="宋体"/>
                <w:bCs/>
                <w:color w:val="000000" w:themeColor="text1"/>
                <w:kern w:val="0"/>
                <w:sz w:val="21"/>
                <w:szCs w:val="21"/>
                <w14:textFill>
                  <w14:solidFill>
                    <w14:schemeClr w14:val="tx1"/>
                  </w14:solidFill>
                </w14:textFill>
              </w:rPr>
              <w:t>Ⅰ</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w:t>
            </w:r>
          </w:p>
        </w:tc>
        <w:tc>
          <w:tcPr>
            <w:tcW w:w="522" w:type="dxa"/>
            <w:vAlign w:val="center"/>
          </w:tcPr>
          <w:p>
            <w:pPr>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32</w:t>
            </w:r>
          </w:p>
        </w:tc>
        <w:tc>
          <w:tcPr>
            <w:tcW w:w="522" w:type="dxa"/>
            <w:vAlign w:val="center"/>
          </w:tcPr>
          <w:p>
            <w:pPr>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20</w:t>
            </w:r>
          </w:p>
        </w:tc>
        <w:tc>
          <w:tcPr>
            <w:tcW w:w="522" w:type="dxa"/>
            <w:vAlign w:val="center"/>
          </w:tcPr>
          <w:p>
            <w:pPr>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12</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1061"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14501184016</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高职英语</w:t>
            </w:r>
            <w:r>
              <w:rPr>
                <w:rFonts w:hint="eastAsia" w:ascii="宋体" w:hAnsi="宋体" w:eastAsia="宋体" w:cs="宋体"/>
                <w:bCs/>
                <w:color w:val="000000" w:themeColor="text1"/>
                <w:kern w:val="0"/>
                <w:sz w:val="21"/>
                <w:szCs w:val="21"/>
                <w14:textFill>
                  <w14:solidFill>
                    <w14:schemeClr w14:val="tx1"/>
                  </w14:solidFill>
                </w14:textFill>
              </w:rPr>
              <w:t>Ⅱ</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w:t>
            </w:r>
          </w:p>
        </w:tc>
        <w:tc>
          <w:tcPr>
            <w:tcW w:w="522" w:type="dxa"/>
            <w:vAlign w:val="center"/>
          </w:tcPr>
          <w:p>
            <w:pPr>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32</w:t>
            </w:r>
          </w:p>
        </w:tc>
        <w:tc>
          <w:tcPr>
            <w:tcW w:w="522" w:type="dxa"/>
            <w:vAlign w:val="center"/>
          </w:tcPr>
          <w:p>
            <w:pPr>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20</w:t>
            </w:r>
          </w:p>
        </w:tc>
        <w:tc>
          <w:tcPr>
            <w:tcW w:w="522" w:type="dxa"/>
            <w:vAlign w:val="center"/>
          </w:tcPr>
          <w:p>
            <w:pPr>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12</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1061"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14501184017</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信息技术</w:t>
            </w:r>
            <w:r>
              <w:rPr>
                <w:rFonts w:hint="eastAsia" w:ascii="宋体" w:hAnsi="宋体" w:eastAsia="宋体" w:cs="宋体"/>
                <w:bCs/>
                <w:color w:val="000000" w:themeColor="text1"/>
                <w:kern w:val="0"/>
                <w:sz w:val="21"/>
                <w:szCs w:val="21"/>
                <w14:textFill>
                  <w14:solidFill>
                    <w14:schemeClr w14:val="tx1"/>
                  </w14:solidFill>
                </w14:textFill>
              </w:rPr>
              <w:t>Ⅰ</w:t>
            </w:r>
            <w:r>
              <w:rPr>
                <w:rFonts w:hint="eastAsia" w:ascii="宋体" w:hAnsi="宋体" w:eastAsia="宋体" w:cs="宋体"/>
                <w:bCs/>
                <w:color w:val="000000" w:themeColor="text1"/>
                <w:kern w:val="0"/>
                <w:sz w:val="21"/>
                <w:szCs w:val="21"/>
                <w:lang w:eastAsia="zh-CN"/>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高职</w:t>
            </w:r>
            <w:r>
              <w:rPr>
                <w:rFonts w:hint="eastAsia" w:ascii="宋体" w:hAnsi="宋体" w:eastAsia="宋体" w:cs="宋体"/>
                <w:bCs/>
                <w:color w:val="000000" w:themeColor="text1"/>
                <w:kern w:val="0"/>
                <w:sz w:val="21"/>
                <w:szCs w:val="21"/>
                <w:lang w:eastAsia="zh-CN"/>
                <w14:textFill>
                  <w14:solidFill>
                    <w14:schemeClr w14:val="tx1"/>
                  </w14:solidFill>
                </w14:textFill>
              </w:rPr>
              <w:t>）</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32</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14501184018</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信息技术</w:t>
            </w:r>
            <w:r>
              <w:rPr>
                <w:rFonts w:hint="eastAsia" w:ascii="宋体" w:hAnsi="宋体" w:eastAsia="宋体" w:cs="宋体"/>
                <w:bCs/>
                <w:color w:val="000000" w:themeColor="text1"/>
                <w:kern w:val="0"/>
                <w:sz w:val="21"/>
                <w:szCs w:val="21"/>
                <w14:textFill>
                  <w14:solidFill>
                    <w14:schemeClr w14:val="tx1"/>
                  </w14:solidFill>
                </w14:textFill>
              </w:rPr>
              <w:t>Ⅱ</w:t>
            </w:r>
            <w:r>
              <w:rPr>
                <w:rFonts w:hint="eastAsia" w:ascii="宋体" w:hAnsi="宋体" w:eastAsia="宋体" w:cs="宋体"/>
                <w:bCs/>
                <w:color w:val="000000" w:themeColor="text1"/>
                <w:kern w:val="0"/>
                <w:sz w:val="21"/>
                <w:szCs w:val="21"/>
                <w:lang w:eastAsia="zh-CN"/>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高职</w:t>
            </w:r>
            <w:r>
              <w:rPr>
                <w:rFonts w:hint="eastAsia" w:ascii="宋体" w:hAnsi="宋体" w:eastAsia="宋体" w:cs="宋体"/>
                <w:bCs/>
                <w:color w:val="000000" w:themeColor="text1"/>
                <w:kern w:val="0"/>
                <w:sz w:val="21"/>
                <w:szCs w:val="21"/>
                <w:lang w:eastAsia="zh-CN"/>
                <w14:textFill>
                  <w14:solidFill>
                    <w14:schemeClr w14:val="tx1"/>
                  </w14:solidFill>
                </w14:textFill>
              </w:rPr>
              <w:t>）</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32</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14501184019</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高职实用语文</w:t>
            </w:r>
            <w:r>
              <w:rPr>
                <w:rFonts w:hint="eastAsia" w:ascii="宋体" w:hAnsi="宋体" w:eastAsia="宋体" w:cs="宋体"/>
                <w:bCs/>
                <w:color w:val="000000" w:themeColor="text1"/>
                <w:kern w:val="0"/>
                <w:sz w:val="21"/>
                <w:szCs w:val="21"/>
                <w14:textFill>
                  <w14:solidFill>
                    <w14:schemeClr w14:val="tx1"/>
                  </w14:solidFill>
                </w14:textFill>
              </w:rPr>
              <w:t>Ⅰ</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14501184020</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高职实用语文</w:t>
            </w:r>
            <w:r>
              <w:rPr>
                <w:rFonts w:hint="eastAsia" w:ascii="宋体" w:hAnsi="宋体" w:eastAsia="宋体" w:cs="宋体"/>
                <w:bCs/>
                <w:color w:val="000000" w:themeColor="text1"/>
                <w:kern w:val="0"/>
                <w:sz w:val="21"/>
                <w:szCs w:val="21"/>
                <w14:textFill>
                  <w14:solidFill>
                    <w14:schemeClr w14:val="tx1"/>
                  </w14:solidFill>
                </w14:textFill>
              </w:rPr>
              <w:t>Ⅱ</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21</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14501184021</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体育</w:t>
            </w:r>
            <w:r>
              <w:rPr>
                <w:rFonts w:hint="eastAsia" w:ascii="宋体" w:hAnsi="宋体" w:eastAsia="宋体" w:cs="宋体"/>
                <w:bCs/>
                <w:color w:val="000000" w:themeColor="text1"/>
                <w:kern w:val="0"/>
                <w:sz w:val="21"/>
                <w:szCs w:val="21"/>
                <w:lang w:val="en-US" w:eastAsia="zh-CN"/>
                <w14:textFill>
                  <w14:solidFill>
                    <w14:schemeClr w14:val="tx1"/>
                  </w14:solidFill>
                </w14:textFill>
              </w:rPr>
              <w:t>与健康</w:t>
            </w:r>
            <w:r>
              <w:rPr>
                <w:rFonts w:hint="eastAsia" w:ascii="宋体" w:hAnsi="宋体" w:eastAsia="宋体" w:cs="宋体"/>
                <w:bCs/>
                <w:color w:val="000000" w:themeColor="text1"/>
                <w:kern w:val="0"/>
                <w:sz w:val="21"/>
                <w:szCs w:val="21"/>
                <w14:textFill>
                  <w14:solidFill>
                    <w14:schemeClr w14:val="tx1"/>
                  </w14:solidFill>
                </w14:textFill>
              </w:rPr>
              <w:t>Ⅰ</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14501184022</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体育</w:t>
            </w:r>
            <w:r>
              <w:rPr>
                <w:rFonts w:hint="eastAsia" w:ascii="宋体" w:hAnsi="宋体" w:eastAsia="宋体" w:cs="宋体"/>
                <w:bCs/>
                <w:color w:val="000000" w:themeColor="text1"/>
                <w:kern w:val="0"/>
                <w:sz w:val="21"/>
                <w:szCs w:val="21"/>
                <w:lang w:val="en-US" w:eastAsia="zh-CN"/>
                <w14:textFill>
                  <w14:solidFill>
                    <w14:schemeClr w14:val="tx1"/>
                  </w14:solidFill>
                </w14:textFill>
              </w:rPr>
              <w:t>与健康</w:t>
            </w:r>
            <w:r>
              <w:rPr>
                <w:rFonts w:hint="eastAsia" w:ascii="宋体" w:hAnsi="宋体" w:eastAsia="宋体" w:cs="宋体"/>
                <w:bCs/>
                <w:color w:val="000000" w:themeColor="text1"/>
                <w:kern w:val="0"/>
                <w:sz w:val="21"/>
                <w:szCs w:val="21"/>
                <w14:textFill>
                  <w14:solidFill>
                    <w14:schemeClr w14:val="tx1"/>
                  </w14:solidFill>
                </w14:textFill>
              </w:rPr>
              <w:t>Ⅱ</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14501184023</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高职</w:t>
            </w:r>
            <w:r>
              <w:rPr>
                <w:rFonts w:hint="eastAsia" w:ascii="宋体" w:hAnsi="宋体" w:eastAsia="宋体" w:cs="宋体"/>
                <w:color w:val="000000" w:themeColor="text1"/>
                <w:kern w:val="0"/>
                <w:sz w:val="21"/>
                <w:szCs w:val="21"/>
                <w:lang w:val="en-US" w:eastAsia="zh-CN"/>
                <w14:textFill>
                  <w14:solidFill>
                    <w14:schemeClr w14:val="tx1"/>
                  </w14:solidFill>
                </w14:textFill>
              </w:rPr>
              <w:t>数学</w:t>
            </w:r>
            <w:r>
              <w:rPr>
                <w:rFonts w:hint="eastAsia" w:ascii="宋体" w:hAnsi="宋体" w:eastAsia="宋体" w:cs="宋体"/>
                <w:bCs/>
                <w:color w:val="000000" w:themeColor="text1"/>
                <w:kern w:val="0"/>
                <w:sz w:val="21"/>
                <w:szCs w:val="21"/>
                <w14:textFill>
                  <w14:solidFill>
                    <w14:schemeClr w14:val="tx1"/>
                  </w14:solidFill>
                </w14:textFill>
              </w:rPr>
              <w:t>Ⅰ</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B</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理科限选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公</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 xml:space="preserve">    共    基    础    课</w:t>
            </w:r>
          </w:p>
        </w:tc>
        <w:tc>
          <w:tcPr>
            <w:tcW w:w="475" w:type="dxa"/>
            <w:vMerge w:val="restart"/>
            <w:vAlign w:val="center"/>
          </w:tcPr>
          <w:p>
            <w:pPr>
              <w:pStyle w:val="84"/>
              <w:jc w:val="center"/>
              <w:outlineLvl w:val="1"/>
              <w:rPr>
                <w:rFonts w:hint="default" w:ascii="楷体_GB2312" w:hAnsi="楷体_GB2312" w:eastAsia="楷体_GB2312" w:cs="楷体_GB2312"/>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公共必修课</w:t>
            </w: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14501184024</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高职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数学</w:t>
            </w:r>
            <w:r>
              <w:rPr>
                <w:rFonts w:hint="eastAsia" w:ascii="宋体" w:hAnsi="宋体" w:eastAsia="宋体" w:cs="宋体"/>
                <w:bCs/>
                <w:color w:val="000000" w:themeColor="text1"/>
                <w:kern w:val="0"/>
                <w:sz w:val="21"/>
                <w:szCs w:val="21"/>
                <w:highlight w:val="none"/>
                <w14:textFill>
                  <w14:solidFill>
                    <w14:schemeClr w14:val="tx1"/>
                  </w14:solidFill>
                </w14:textFill>
              </w:rPr>
              <w:t>Ⅱ</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B</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理科限选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14501184025</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心理健康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教育</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28</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学生</w:t>
            </w:r>
          </w:p>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工作处</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26</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14501184026</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大学生安全教育</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B</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8</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楷体_GB2312" w:hAnsi="楷体_GB2312" w:eastAsia="楷体_GB2312" w:cs="楷体_GB2312"/>
                <w:b w:val="0"/>
                <w:bCs/>
                <w:color w:val="000000" w:themeColor="text1"/>
                <w:sz w:val="28"/>
                <w:szCs w:val="28"/>
                <w:highlight w:val="none"/>
                <w:vertAlign w:val="baseline"/>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27</w:t>
            </w:r>
          </w:p>
        </w:tc>
        <w:tc>
          <w:tcPr>
            <w:tcW w:w="122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14501184027</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创新与创业教育</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24</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8</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3"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86"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42" w:type="dxa"/>
            <w:gridSpan w:val="6"/>
            <w:vAlign w:val="center"/>
          </w:tcPr>
          <w:p>
            <w:pPr>
              <w:widowControl/>
              <w:jc w:val="center"/>
              <w:textAlignment w:val="center"/>
              <w:outlineLvl w:val="9"/>
              <w:rPr>
                <w:rFonts w:hint="eastAsia" w:ascii="楷体_GB2312" w:hAnsi="楷体_GB2312" w:eastAsia="楷体_GB2312" w:cs="楷体_GB2312"/>
                <w:b w:val="0"/>
                <w:bCs/>
                <w:color w:val="000000" w:themeColor="text1"/>
                <w:spacing w:val="0"/>
                <w:w w:val="100"/>
                <w:sz w:val="28"/>
                <w:szCs w:val="28"/>
                <w:vertAlign w:val="baseline"/>
                <w14:textFill>
                  <w14:solidFill>
                    <w14:schemeClr w14:val="tx1"/>
                  </w14:solidFill>
                </w14:textFill>
              </w:rPr>
            </w:pPr>
            <w:r>
              <w:rPr>
                <w:rFonts w:hint="eastAsia" w:ascii="宋体" w:hAnsi="宋体" w:eastAsia="宋体" w:cs="宋体"/>
                <w:bCs/>
                <w:color w:val="000000" w:themeColor="text1"/>
                <w:spacing w:val="0"/>
                <w:w w:val="100"/>
                <w:kern w:val="0"/>
                <w:sz w:val="21"/>
                <w:szCs w:val="21"/>
                <w:lang w:val="en-US" w:eastAsia="zh-CN" w:bidi="ar-SA"/>
                <w14:textFill>
                  <w14:solidFill>
                    <w14:schemeClr w14:val="tx1"/>
                  </w14:solidFill>
                </w14:textFill>
              </w:rPr>
              <w:t>公共必修课小计</w:t>
            </w: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pacing w:val="0"/>
                <w:w w:val="100"/>
                <w:sz w:val="28"/>
                <w:szCs w:val="28"/>
                <w:vertAlign w:val="baseline"/>
                <w14:textFill>
                  <w14:solidFill>
                    <w14:schemeClr w14:val="tx1"/>
                  </w14:solidFill>
                </w14:textFill>
              </w:rPr>
            </w:pPr>
            <w:r>
              <w:rPr>
                <w:rFonts w:hint="eastAsia" w:ascii="宋体" w:hAnsi="宋体" w:eastAsia="宋体" w:cs="宋体"/>
                <w:bCs/>
                <w:color w:val="000000" w:themeColor="text1"/>
                <w:spacing w:val="0"/>
                <w:w w:val="100"/>
                <w:kern w:val="0"/>
                <w:sz w:val="21"/>
                <w:szCs w:val="21"/>
                <w:lang w:val="en-US" w:eastAsia="zh-CN"/>
                <w14:textFill>
                  <w14:solidFill>
                    <w14:schemeClr w14:val="tx1"/>
                  </w14:solidFill>
                </w14:textFill>
              </w:rPr>
              <w:t>42</w:t>
            </w:r>
          </w:p>
        </w:tc>
        <w:tc>
          <w:tcPr>
            <w:tcW w:w="522" w:type="dxa"/>
            <w:tcFitText/>
            <w:vAlign w:val="center"/>
          </w:tcPr>
          <w:p>
            <w:pPr>
              <w:widowControl/>
              <w:jc w:val="center"/>
              <w:textAlignment w:val="center"/>
              <w:outlineLvl w:val="9"/>
              <w:rPr>
                <w:rFonts w:hint="default" w:ascii="楷体_GB2312" w:hAnsi="楷体_GB2312" w:eastAsia="楷体_GB2312" w:cs="楷体_GB2312"/>
                <w:b w:val="0"/>
                <w:bCs/>
                <w:color w:val="000000" w:themeColor="text1"/>
                <w:spacing w:val="0"/>
                <w:sz w:val="28"/>
                <w:szCs w:val="28"/>
                <w:vertAlign w:val="baseline"/>
                <w:lang w:val="en-US"/>
                <w14:textFill>
                  <w14:solidFill>
                    <w14:schemeClr w14:val="tx1"/>
                  </w14:solidFill>
                </w14:textFill>
              </w:rPr>
            </w:pPr>
            <w:r>
              <w:rPr>
                <w:rFonts w:hint="eastAsia" w:ascii="宋体" w:hAnsi="宋体" w:eastAsia="宋体" w:cs="宋体"/>
                <w:bCs/>
                <w:color w:val="000000" w:themeColor="text1"/>
                <w:spacing w:val="1"/>
                <w:w w:val="93"/>
                <w:kern w:val="0"/>
                <w:sz w:val="21"/>
                <w:szCs w:val="21"/>
                <w:lang w:val="en-US" w:eastAsia="zh-CN"/>
                <w14:textFill>
                  <w14:solidFill>
                    <w14:schemeClr w14:val="tx1"/>
                  </w14:solidFill>
                </w14:textFill>
              </w:rPr>
              <w:t>70</w:t>
            </w:r>
            <w:r>
              <w:rPr>
                <w:rFonts w:hint="eastAsia" w:ascii="宋体" w:hAnsi="宋体" w:eastAsia="宋体" w:cs="宋体"/>
                <w:bCs/>
                <w:color w:val="000000" w:themeColor="text1"/>
                <w:spacing w:val="0"/>
                <w:w w:val="93"/>
                <w:kern w:val="0"/>
                <w:sz w:val="21"/>
                <w:szCs w:val="21"/>
                <w:lang w:val="en-US" w:eastAsia="zh-CN"/>
                <w14:textFill>
                  <w14:solidFill>
                    <w14:schemeClr w14:val="tx1"/>
                  </w14:solidFill>
                </w14:textFill>
              </w:rPr>
              <w:t>2</w:t>
            </w:r>
          </w:p>
        </w:tc>
        <w:tc>
          <w:tcPr>
            <w:tcW w:w="522" w:type="dxa"/>
            <w:tcFitText/>
            <w:vAlign w:val="center"/>
          </w:tcPr>
          <w:p>
            <w:pPr>
              <w:widowControl/>
              <w:jc w:val="center"/>
              <w:textAlignment w:val="center"/>
              <w:outlineLvl w:val="9"/>
              <w:rPr>
                <w:rFonts w:hint="default" w:ascii="楷体_GB2312" w:hAnsi="楷体_GB2312" w:eastAsia="楷体_GB2312" w:cs="楷体_GB2312"/>
                <w:b w:val="0"/>
                <w:bCs/>
                <w:color w:val="000000" w:themeColor="text1"/>
                <w:spacing w:val="0"/>
                <w:sz w:val="28"/>
                <w:szCs w:val="28"/>
                <w:vertAlign w:val="baseline"/>
                <w:lang w:val="en-US"/>
                <w14:textFill>
                  <w14:solidFill>
                    <w14:schemeClr w14:val="tx1"/>
                  </w14:solidFill>
                </w14:textFill>
              </w:rPr>
            </w:pPr>
            <w:r>
              <w:rPr>
                <w:rFonts w:hint="eastAsia" w:ascii="宋体" w:hAnsi="宋体" w:eastAsia="宋体" w:cs="宋体"/>
                <w:bCs/>
                <w:color w:val="000000" w:themeColor="text1"/>
                <w:spacing w:val="1"/>
                <w:w w:val="93"/>
                <w:kern w:val="0"/>
                <w:sz w:val="21"/>
                <w:szCs w:val="21"/>
                <w:lang w:val="en-US" w:eastAsia="zh-CN"/>
                <w14:textFill>
                  <w14:solidFill>
                    <w14:schemeClr w14:val="tx1"/>
                  </w14:solidFill>
                </w14:textFill>
              </w:rPr>
              <w:t>43</w:t>
            </w:r>
            <w:r>
              <w:rPr>
                <w:rFonts w:hint="eastAsia" w:ascii="宋体" w:hAnsi="宋体" w:eastAsia="宋体" w:cs="宋体"/>
                <w:bCs/>
                <w:color w:val="000000" w:themeColor="text1"/>
                <w:spacing w:val="0"/>
                <w:w w:val="93"/>
                <w:kern w:val="0"/>
                <w:sz w:val="21"/>
                <w:szCs w:val="21"/>
                <w:lang w:val="en-US" w:eastAsia="zh-CN"/>
                <w14:textFill>
                  <w14:solidFill>
                    <w14:schemeClr w14:val="tx1"/>
                  </w14:solidFill>
                </w14:textFill>
              </w:rPr>
              <w:t>0</w:t>
            </w:r>
          </w:p>
        </w:tc>
        <w:tc>
          <w:tcPr>
            <w:tcW w:w="522" w:type="dxa"/>
            <w:tcFitText/>
            <w:vAlign w:val="center"/>
          </w:tcPr>
          <w:p>
            <w:pPr>
              <w:widowControl/>
              <w:jc w:val="center"/>
              <w:textAlignment w:val="center"/>
              <w:outlineLvl w:val="9"/>
              <w:rPr>
                <w:rFonts w:hint="default" w:ascii="楷体_GB2312" w:hAnsi="楷体_GB2312" w:eastAsia="楷体_GB2312" w:cs="楷体_GB2312"/>
                <w:b w:val="0"/>
                <w:bCs/>
                <w:color w:val="000000" w:themeColor="text1"/>
                <w:spacing w:val="0"/>
                <w:sz w:val="28"/>
                <w:szCs w:val="28"/>
                <w:vertAlign w:val="baseline"/>
                <w:lang w:val="en-US"/>
                <w14:textFill>
                  <w14:solidFill>
                    <w14:schemeClr w14:val="tx1"/>
                  </w14:solidFill>
                </w14:textFill>
              </w:rPr>
            </w:pPr>
            <w:r>
              <w:rPr>
                <w:rFonts w:hint="eastAsia" w:ascii="宋体" w:hAnsi="宋体" w:eastAsia="宋体" w:cs="宋体"/>
                <w:bCs/>
                <w:color w:val="000000" w:themeColor="text1"/>
                <w:spacing w:val="1"/>
                <w:w w:val="93"/>
                <w:kern w:val="0"/>
                <w:sz w:val="21"/>
                <w:szCs w:val="21"/>
                <w:lang w:val="en-US" w:eastAsia="zh-CN"/>
                <w14:textFill>
                  <w14:solidFill>
                    <w14:schemeClr w14:val="tx1"/>
                  </w14:solidFill>
                </w14:textFill>
              </w:rPr>
              <w:t>27</w:t>
            </w:r>
            <w:r>
              <w:rPr>
                <w:rFonts w:hint="eastAsia" w:ascii="宋体" w:hAnsi="宋体" w:eastAsia="宋体" w:cs="宋体"/>
                <w:bCs/>
                <w:color w:val="000000" w:themeColor="text1"/>
                <w:spacing w:val="0"/>
                <w:w w:val="93"/>
                <w:kern w:val="0"/>
                <w:sz w:val="21"/>
                <w:szCs w:val="21"/>
                <w:lang w:val="en-US" w:eastAsia="zh-CN"/>
                <w14:textFill>
                  <w14:solidFill>
                    <w14:schemeClr w14:val="tx1"/>
                  </w14:solidFill>
                </w14:textFill>
              </w:rPr>
              <w:t>2</w:t>
            </w:r>
          </w:p>
        </w:tc>
        <w:tc>
          <w:tcPr>
            <w:tcW w:w="583" w:type="dxa"/>
            <w:vAlign w:val="center"/>
          </w:tcPr>
          <w:p>
            <w:pPr>
              <w:widowControl/>
              <w:jc w:val="center"/>
              <w:textAlignment w:val="center"/>
              <w:outlineLvl w:val="9"/>
              <w:rPr>
                <w:rFonts w:hint="default"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18</w:t>
            </w:r>
          </w:p>
        </w:tc>
        <w:tc>
          <w:tcPr>
            <w:tcW w:w="583" w:type="dxa"/>
            <w:vAlign w:val="center"/>
          </w:tcPr>
          <w:p>
            <w:pPr>
              <w:widowControl/>
              <w:jc w:val="center"/>
              <w:textAlignment w:val="center"/>
              <w:outlineLvl w:val="9"/>
              <w:rPr>
                <w:rFonts w:hint="default"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14</w:t>
            </w:r>
          </w:p>
        </w:tc>
        <w:tc>
          <w:tcPr>
            <w:tcW w:w="583" w:type="dxa"/>
            <w:vAlign w:val="center"/>
          </w:tcPr>
          <w:p>
            <w:pPr>
              <w:widowControl/>
              <w:jc w:val="center"/>
              <w:textAlignment w:val="center"/>
              <w:outlineLvl w:val="9"/>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4</w:t>
            </w:r>
          </w:p>
        </w:tc>
        <w:tc>
          <w:tcPr>
            <w:tcW w:w="583" w:type="dxa"/>
            <w:vAlign w:val="center"/>
          </w:tcPr>
          <w:p>
            <w:pPr>
              <w:widowControl/>
              <w:jc w:val="center"/>
              <w:textAlignment w:val="center"/>
              <w:outlineLvl w:val="9"/>
              <w:rPr>
                <w:rFonts w:hint="default"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1</w:t>
            </w:r>
          </w:p>
        </w:tc>
        <w:tc>
          <w:tcPr>
            <w:tcW w:w="583" w:type="dxa"/>
            <w:vAlign w:val="center"/>
          </w:tcPr>
          <w:p>
            <w:pPr>
              <w:widowControl/>
              <w:jc w:val="center"/>
              <w:textAlignment w:val="center"/>
              <w:outlineLvl w:val="9"/>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pPr>
          </w:p>
        </w:tc>
        <w:tc>
          <w:tcPr>
            <w:tcW w:w="588" w:type="dxa"/>
            <w:vAlign w:val="center"/>
          </w:tcPr>
          <w:p>
            <w:pPr>
              <w:widowControl/>
              <w:jc w:val="center"/>
              <w:textAlignment w:val="center"/>
              <w:outlineLvl w:val="9"/>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pPr>
          </w:p>
        </w:tc>
        <w:tc>
          <w:tcPr>
            <w:tcW w:w="386" w:type="dxa"/>
            <w:tcFitText/>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061"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公共选修课</w:t>
            </w: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14501185001</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党史</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马克思主义教学部</w:t>
            </w:r>
          </w:p>
        </w:tc>
        <w:tc>
          <w:tcPr>
            <w:tcW w:w="1312" w:type="dxa"/>
            <w:vMerge w:val="restart"/>
            <w:vAlign w:val="center"/>
          </w:tcPr>
          <w:p>
            <w:pPr>
              <w:pStyle w:val="84"/>
              <w:jc w:val="left"/>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“四史”教育任选其一，上课为4周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14501185002</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新中国史</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马克思主义教学部</w:t>
            </w:r>
          </w:p>
        </w:tc>
        <w:tc>
          <w:tcPr>
            <w:tcW w:w="131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14501185003</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改革开放史</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马克思主义教学部</w:t>
            </w:r>
          </w:p>
        </w:tc>
        <w:tc>
          <w:tcPr>
            <w:tcW w:w="131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14501185004</w:t>
            </w:r>
          </w:p>
        </w:tc>
        <w:tc>
          <w:tcPr>
            <w:tcW w:w="2259"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社会主义发展史</w:t>
            </w:r>
          </w:p>
        </w:tc>
        <w:tc>
          <w:tcPr>
            <w:tcW w:w="69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64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8"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马克思主义教学部</w:t>
            </w:r>
          </w:p>
        </w:tc>
        <w:tc>
          <w:tcPr>
            <w:tcW w:w="1312"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14501185005</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急救与自救（</w:t>
            </w:r>
            <w:r>
              <w:rPr>
                <w:rFonts w:hint="eastAsia" w:ascii="宋体" w:hAnsi="宋体" w:eastAsia="宋体" w:cs="宋体"/>
                <w:bCs/>
                <w:color w:val="000000" w:themeColor="text1"/>
                <w:kern w:val="0"/>
                <w:sz w:val="21"/>
                <w:szCs w:val="21"/>
                <w:lang w:val="en-US" w:eastAsia="zh-CN"/>
                <w14:textFill>
                  <w14:solidFill>
                    <w14:schemeClr w14:val="tx1"/>
                  </w14:solidFill>
                </w14:textFill>
              </w:rPr>
              <w:t>网</w:t>
            </w:r>
            <w:r>
              <w:rPr>
                <w:rFonts w:hint="eastAsia" w:ascii="宋体" w:hAnsi="宋体" w:eastAsia="宋体" w:cs="宋体"/>
                <w:bCs/>
                <w:color w:val="000000" w:themeColor="text1"/>
                <w:kern w:val="0"/>
                <w:sz w:val="21"/>
                <w:szCs w:val="21"/>
                <w:lang w:eastAsia="zh-CN"/>
                <w14:textFill>
                  <w14:solidFill>
                    <w14:schemeClr w14:val="tx1"/>
                  </w14:solidFill>
                </w14:textFill>
              </w:rPr>
              <w:t>）</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restart"/>
            <w:vAlign w:val="center"/>
          </w:tcPr>
          <w:p>
            <w:pPr>
              <w:widowControl/>
              <w:jc w:val="left"/>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限选课程，在线学习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14501185006</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中华优秀传统文化（</w:t>
            </w:r>
            <w:r>
              <w:rPr>
                <w:rFonts w:hint="eastAsia" w:ascii="宋体" w:hAnsi="宋体" w:eastAsia="宋体" w:cs="宋体"/>
                <w:color w:val="000000" w:themeColor="text1"/>
                <w:kern w:val="0"/>
                <w:sz w:val="21"/>
                <w:szCs w:val="21"/>
                <w:lang w:val="en-US" w:eastAsia="zh-CN"/>
                <w14:textFill>
                  <w14:solidFill>
                    <w14:schemeClr w14:val="tx1"/>
                  </w14:solidFill>
                </w14:textFill>
              </w:rPr>
              <w:t>网</w:t>
            </w:r>
            <w:r>
              <w:rPr>
                <w:rFonts w:hint="eastAsia" w:ascii="宋体" w:hAnsi="宋体" w:eastAsia="宋体" w:cs="宋体"/>
                <w:color w:val="000000" w:themeColor="text1"/>
                <w:kern w:val="0"/>
                <w:sz w:val="21"/>
                <w:szCs w:val="21"/>
                <w:lang w:eastAsia="zh-CN"/>
                <w14:textFill>
                  <w14:solidFill>
                    <w14:schemeClr w14:val="tx1"/>
                  </w14:solidFill>
                </w14:textFill>
              </w:rPr>
              <w:t>）</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Merge w:val="continue"/>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14501185007</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大学生劳动就业法律问题解读（</w:t>
            </w:r>
            <w:r>
              <w:rPr>
                <w:rFonts w:hint="eastAsia" w:ascii="宋体" w:hAnsi="宋体" w:eastAsia="宋体" w:cs="宋体"/>
                <w:bCs/>
                <w:color w:val="000000" w:themeColor="text1"/>
                <w:kern w:val="0"/>
                <w:sz w:val="21"/>
                <w:szCs w:val="21"/>
                <w:lang w:val="en-US" w:eastAsia="zh-CN"/>
                <w14:textFill>
                  <w14:solidFill>
                    <w14:schemeClr w14:val="tx1"/>
                  </w14:solidFill>
                </w14:textFill>
              </w:rPr>
              <w:t>网</w:t>
            </w:r>
            <w:r>
              <w:rPr>
                <w:rFonts w:hint="eastAsia" w:ascii="宋体" w:hAnsi="宋体" w:eastAsia="宋体" w:cs="宋体"/>
                <w:bCs/>
                <w:color w:val="000000" w:themeColor="text1"/>
                <w:kern w:val="0"/>
                <w:sz w:val="21"/>
                <w:szCs w:val="21"/>
                <w:lang w:eastAsia="zh-CN"/>
                <w14:textFill>
                  <w14:solidFill>
                    <w14:schemeClr w14:val="tx1"/>
                  </w14:solidFill>
                </w14:textFill>
              </w:rPr>
              <w:t>）</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0.5</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continue"/>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公</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 xml:space="preserve">    共    基    础    课</w:t>
            </w:r>
          </w:p>
        </w:tc>
        <w:tc>
          <w:tcPr>
            <w:tcW w:w="475"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公共选修课</w:t>
            </w: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14501185008</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国防</w:t>
            </w:r>
            <w:r>
              <w:rPr>
                <w:rFonts w:hint="eastAsia" w:ascii="宋体" w:hAnsi="宋体" w:eastAsia="宋体" w:cs="宋体"/>
                <w:bCs/>
                <w:color w:val="000000" w:themeColor="text1"/>
                <w:kern w:val="0"/>
                <w:sz w:val="21"/>
                <w:szCs w:val="21"/>
                <w:lang w:eastAsia="zh-CN"/>
                <w14:textFill>
                  <w14:solidFill>
                    <w14:schemeClr w14:val="tx1"/>
                  </w14:solidFill>
                </w14:textFill>
              </w:rPr>
              <w:t>安全</w:t>
            </w:r>
            <w:r>
              <w:rPr>
                <w:rFonts w:hint="eastAsia" w:ascii="宋体" w:hAnsi="宋体" w:eastAsia="宋体" w:cs="宋体"/>
                <w:bCs/>
                <w:color w:val="000000" w:themeColor="text1"/>
                <w:kern w:val="0"/>
                <w:sz w:val="21"/>
                <w:szCs w:val="21"/>
                <w14:textFill>
                  <w14:solidFill>
                    <w14:schemeClr w14:val="tx1"/>
                  </w14:solidFill>
                </w14:textFill>
              </w:rPr>
              <w:t>教育</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14501185009</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节能减排</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14501185010</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应用文写作</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14501185011</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唐诗宋词鉴赏</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bottom"/>
          </w:tcPr>
          <w:p>
            <w:pPr>
              <w:pStyle w:val="84"/>
              <w:jc w:val="center"/>
              <w:outlineLvl w:val="1"/>
              <w:rPr>
                <w:rFonts w:hint="eastAsia" w:ascii="楷体_GB2312" w:hAnsi="楷体_GB2312" w:eastAsia="楷体_GB2312" w:cs="楷体_GB2312"/>
                <w:b w:val="0"/>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12</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14501185012</w:t>
            </w:r>
          </w:p>
        </w:tc>
        <w:tc>
          <w:tcPr>
            <w:tcW w:w="2259"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礼仪素养</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14501185013</w:t>
            </w:r>
          </w:p>
        </w:tc>
        <w:tc>
          <w:tcPr>
            <w:tcW w:w="2259"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普通话</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8</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8</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14501185014</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社交礼仪</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14501185015</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市场营销</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14501185016</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高职</w:t>
            </w:r>
            <w:r>
              <w:rPr>
                <w:rFonts w:hint="eastAsia" w:ascii="宋体" w:hAnsi="宋体" w:eastAsia="宋体" w:cs="宋体"/>
                <w:color w:val="000000" w:themeColor="text1"/>
                <w:kern w:val="0"/>
                <w:sz w:val="21"/>
                <w:szCs w:val="21"/>
                <w:lang w:val="en-US" w:eastAsia="zh-CN"/>
                <w14:textFill>
                  <w14:solidFill>
                    <w14:schemeClr w14:val="tx1"/>
                  </w14:solidFill>
                </w14:textFill>
              </w:rPr>
              <w:t>数学（拓展）</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14501185017</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高职实用语文（拓展）</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8"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14501185018</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高职英语（拓展）</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8"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19</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14501185019</w:t>
            </w:r>
          </w:p>
        </w:tc>
        <w:tc>
          <w:tcPr>
            <w:tcW w:w="2259"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信息技术（拓展）</w:t>
            </w:r>
          </w:p>
        </w:tc>
        <w:tc>
          <w:tcPr>
            <w:tcW w:w="693" w:type="dxa"/>
            <w:vAlign w:val="center"/>
          </w:tcPr>
          <w:p>
            <w:pPr>
              <w:widowControl/>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8"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vAlign w:val="center"/>
          </w:tcPr>
          <w:p>
            <w:pPr>
              <w:pStyle w:val="84"/>
              <w:jc w:val="center"/>
              <w:outlineLvl w:val="1"/>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公</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 xml:space="preserve">    共    基    础    课</w:t>
            </w:r>
          </w:p>
        </w:tc>
        <w:tc>
          <w:tcPr>
            <w:tcW w:w="475"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公共选修课</w:t>
            </w: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14501185020</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思想政治理论（拓展）</w:t>
            </w:r>
          </w:p>
        </w:tc>
        <w:tc>
          <w:tcPr>
            <w:tcW w:w="0" w:type="auto"/>
            <w:vAlign w:val="center"/>
          </w:tcPr>
          <w:p>
            <w:pPr>
              <w:widowControl/>
              <w:jc w:val="center"/>
              <w:textAlignment w:val="center"/>
              <w:outlineLvl w:val="9"/>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0" w:type="auto"/>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0</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21</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14501185021</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音乐欣赏</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Merge w:val="restart"/>
            <w:vAlign w:val="center"/>
          </w:tcPr>
          <w:p>
            <w:pPr>
              <w:pStyle w:val="84"/>
              <w:jc w:val="center"/>
              <w:outlineLvl w:val="1"/>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cs="宋体"/>
                <w:b w:val="0"/>
                <w:bCs/>
                <w:color w:val="000000" w:themeColor="text1"/>
                <w:kern w:val="0"/>
                <w:sz w:val="21"/>
                <w:szCs w:val="21"/>
                <w:lang w:val="en-US" w:eastAsia="zh-CN" w:bidi="ar-SA"/>
                <w14:textFill>
                  <w14:solidFill>
                    <w14:schemeClr w14:val="tx1"/>
                  </w14:solidFill>
                </w14:textFill>
              </w:rPr>
              <w:t>美育类课程至少选一门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14501185022</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书画艺术欣赏</w:t>
            </w:r>
          </w:p>
        </w:tc>
        <w:tc>
          <w:tcPr>
            <w:tcW w:w="693"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p>
        </w:tc>
        <w:tc>
          <w:tcPr>
            <w:tcW w:w="658"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64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widowControl/>
              <w:jc w:val="center"/>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center"/>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14501185023</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舞蹈</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14501185024</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书法</w:t>
            </w:r>
          </w:p>
        </w:tc>
        <w:tc>
          <w:tcPr>
            <w:tcW w:w="69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14501185025</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体育（足球）</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restart"/>
            <w:vAlign w:val="center"/>
          </w:tcPr>
          <w:p>
            <w:pPr>
              <w:pStyle w:val="84"/>
              <w:jc w:val="center"/>
              <w:outlineLvl w:val="1"/>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cs="宋体"/>
                <w:b w:val="0"/>
                <w:bCs/>
                <w:color w:val="000000" w:themeColor="text1"/>
                <w:kern w:val="0"/>
                <w:sz w:val="21"/>
                <w:szCs w:val="21"/>
                <w:lang w:val="en-US" w:eastAsia="zh-CN" w:bidi="ar-SA"/>
                <w14:textFill>
                  <w14:solidFill>
                    <w14:schemeClr w14:val="tx1"/>
                  </w14:solidFill>
                </w14:textFill>
              </w:rPr>
              <w:t>体育类课程至少选</w:t>
            </w: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一</w:t>
            </w:r>
            <w:r>
              <w:rPr>
                <w:rFonts w:hint="eastAsia" w:cs="宋体"/>
                <w:b w:val="0"/>
                <w:bCs/>
                <w:color w:val="000000" w:themeColor="text1"/>
                <w:kern w:val="0"/>
                <w:sz w:val="21"/>
                <w:szCs w:val="21"/>
                <w:lang w:val="en-US" w:eastAsia="zh-CN" w:bidi="ar-SA"/>
                <w14:textFill>
                  <w14:solidFill>
                    <w14:schemeClr w14:val="tx1"/>
                  </w14:solidFill>
                </w14:textFill>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26</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14501185026</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体育（篮球）</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27</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14501185027</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体育（羽毛球）</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14501185028</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体育（乒乓球）</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楷体_GB2312" w:hAnsi="楷体_GB2312" w:eastAsia="楷体_GB2312" w:cs="楷体_GB2312"/>
                <w:b w:val="0"/>
                <w:bCs/>
                <w:color w:val="000000" w:themeColor="text1"/>
                <w:sz w:val="28"/>
                <w:szCs w:val="28"/>
                <w:vertAlign w:val="baseline"/>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29</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14501185029</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体育（排球）</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eastAsia="zh-CN"/>
                <w14:textFill>
                  <w14:solidFill>
                    <w14:schemeClr w14:val="tx1"/>
                  </w14:solidFill>
                </w14:textFill>
              </w:rPr>
              <w:t>基础部</w:t>
            </w:r>
          </w:p>
        </w:tc>
        <w:tc>
          <w:tcPr>
            <w:tcW w:w="1312" w:type="dxa"/>
            <w:vMerge w:val="continue"/>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35" w:type="dxa"/>
            <w:vAlign w:val="center"/>
          </w:tcPr>
          <w:p>
            <w:pPr>
              <w:keepNext w:val="0"/>
              <w:keepLines w:val="0"/>
              <w:widowControl/>
              <w:suppressLineNumbers w:val="0"/>
              <w:jc w:val="center"/>
              <w:textAlignment w:val="center"/>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14501185030</w:t>
            </w:r>
          </w:p>
        </w:tc>
        <w:tc>
          <w:tcPr>
            <w:tcW w:w="0" w:type="auto"/>
            <w:vAlign w:val="center"/>
          </w:tcPr>
          <w:p>
            <w:pPr>
              <w:widowControl/>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健美操</w:t>
            </w:r>
          </w:p>
        </w:tc>
        <w:tc>
          <w:tcPr>
            <w:tcW w:w="693"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22"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22" w:type="dxa"/>
            <w:vAlign w:val="center"/>
          </w:tcPr>
          <w:p>
            <w:pPr>
              <w:jc w:val="center"/>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w:t>
            </w: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583" w:type="dxa"/>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0" w:type="auto"/>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c>
          <w:tcPr>
            <w:tcW w:w="386" w:type="dxa"/>
            <w:vAlign w:val="center"/>
          </w:tcPr>
          <w:p>
            <w:pPr>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C</w:t>
            </w:r>
          </w:p>
        </w:tc>
        <w:tc>
          <w:tcPr>
            <w:tcW w:w="1061" w:type="dxa"/>
            <w:vAlign w:val="center"/>
          </w:tcPr>
          <w:p>
            <w:pPr>
              <w:widowControl/>
              <w:jc w:val="center"/>
              <w:textAlignment w:val="center"/>
              <w:outlineLvl w:val="9"/>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基础部</w:t>
            </w:r>
          </w:p>
        </w:tc>
        <w:tc>
          <w:tcPr>
            <w:tcW w:w="1312" w:type="dxa"/>
            <w:vMerge w:val="continue"/>
            <w:vAlign w:val="top"/>
          </w:tcPr>
          <w:p>
            <w:pPr>
              <w:pStyle w:val="84"/>
              <w:jc w:val="center"/>
              <w:outlineLvl w:val="1"/>
              <w:rPr>
                <w:rFonts w:hint="eastAsia" w:ascii="楷体_GB2312" w:hAnsi="楷体_GB2312" w:eastAsia="楷体_GB2312" w:cs="楷体_GB2312"/>
                <w:b w:val="0"/>
                <w:bCs/>
                <w:color w:val="000000" w:themeColor="text1"/>
                <w:kern w:val="2"/>
                <w:sz w:val="28"/>
                <w:szCs w:val="28"/>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42" w:type="dxa"/>
            <w:gridSpan w:val="6"/>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公共选修课小计</w:t>
            </w:r>
          </w:p>
        </w:tc>
        <w:tc>
          <w:tcPr>
            <w:tcW w:w="642"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6</w:t>
            </w:r>
          </w:p>
        </w:tc>
        <w:tc>
          <w:tcPr>
            <w:tcW w:w="0" w:type="auto"/>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96</w:t>
            </w:r>
          </w:p>
        </w:tc>
        <w:tc>
          <w:tcPr>
            <w:tcW w:w="522"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64</w:t>
            </w:r>
          </w:p>
        </w:tc>
        <w:tc>
          <w:tcPr>
            <w:tcW w:w="522"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32</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583"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1.5</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1.5</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58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386" w:type="dxa"/>
            <w:vAlign w:val="center"/>
          </w:tcPr>
          <w:p>
            <w:pPr>
              <w:widowControl/>
              <w:jc w:val="center"/>
              <w:textAlignment w:val="center"/>
              <w:outlineLvl w:val="9"/>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061" w:type="dxa"/>
            <w:vAlign w:val="center"/>
          </w:tcPr>
          <w:p>
            <w:pPr>
              <w:widowControl/>
              <w:jc w:val="center"/>
              <w:textAlignment w:val="center"/>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LrV"/>
            <w:vAlign w:val="center"/>
          </w:tcPr>
          <w:p>
            <w:pPr>
              <w:pStyle w:val="84"/>
              <w:ind w:left="113" w:right="113"/>
              <w:jc w:val="center"/>
              <w:outlineLvl w:val="1"/>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cs="宋体"/>
                <w:b w:val="0"/>
                <w:bCs w:val="0"/>
                <w:color w:val="000000" w:themeColor="text1"/>
                <w:kern w:val="0"/>
                <w:sz w:val="21"/>
                <w:szCs w:val="21"/>
                <w:lang w:val="en-US" w:eastAsia="zh-CN" w:bidi="ar-SA"/>
                <w14:textFill>
                  <w14:solidFill>
                    <w14:schemeClr w14:val="tx1"/>
                  </w14:solidFill>
                </w14:textFill>
              </w:rPr>
              <w:t>专  业 （技  能） 课</w:t>
            </w:r>
          </w:p>
        </w:tc>
        <w:tc>
          <w:tcPr>
            <w:tcW w:w="475"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cs="宋体"/>
                <w:b w:val="0"/>
                <w:bCs w:val="0"/>
                <w:color w:val="000000" w:themeColor="text1"/>
                <w:kern w:val="0"/>
                <w:sz w:val="21"/>
                <w:szCs w:val="21"/>
                <w:lang w:val="en-US" w:eastAsia="zh-CN" w:bidi="ar-SA"/>
                <w14:textFill>
                  <w14:solidFill>
                    <w14:schemeClr w14:val="tx1"/>
                  </w14:solidFill>
                </w14:textFill>
              </w:rPr>
              <w:t>专业必修</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 xml:space="preserve">   课</w:t>
            </w: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无机与分析化学</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vAlign w:val="center"/>
          </w:tcPr>
          <w:p>
            <w:pPr>
              <w:pStyle w:val="84"/>
              <w:jc w:val="center"/>
              <w:outlineLvl w:val="1"/>
              <w:rPr>
                <w:rFonts w:hint="eastAsia" w:cs="宋体"/>
                <w:b w:val="0"/>
                <w:bCs w:val="0"/>
                <w:color w:val="000000" w:themeColor="text1"/>
                <w:kern w:val="0"/>
                <w:sz w:val="21"/>
                <w:szCs w:val="21"/>
                <w:lang w:val="en-US" w:eastAsia="zh-CN" w:bidi="ar-SA"/>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21"/>
                <w:szCs w:val="21"/>
                <w:u w:val="none"/>
                <w:lang w:val="en-US" w:eastAsia="zh-CN" w:bidi="ar"/>
              </w:rPr>
              <w:t>食品微生物学</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14501141035</w:t>
            </w:r>
          </w:p>
        </w:tc>
        <w:tc>
          <w:tcPr>
            <w:tcW w:w="0" w:type="auto"/>
            <w:vAlign w:val="top"/>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21"/>
                <w:szCs w:val="21"/>
                <w:u w:val="none"/>
                <w:lang w:val="en-US" w:eastAsia="zh-CN" w:bidi="ar"/>
              </w:rPr>
              <w:t>食品营养与安全</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24</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21"/>
                <w:szCs w:val="21"/>
                <w:u w:val="none"/>
                <w:lang w:val="en-US" w:eastAsia="zh-CN" w:bidi="ar"/>
              </w:rPr>
              <w:t>食品应用化学</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绿色食品生产基础</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21"/>
                <w:szCs w:val="21"/>
                <w:u w:val="none"/>
                <w:lang w:val="en-US" w:eastAsia="zh-CN" w:bidi="ar"/>
              </w:rPr>
              <w:t>食品加工单元操作</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畜产品加工技术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24</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14501141030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21"/>
                <w:szCs w:val="21"/>
                <w:u w:val="none"/>
                <w:lang w:val="en-US" w:eastAsia="zh-CN" w:bidi="ar"/>
              </w:rPr>
              <w:t>食品检验与分析</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果蔬贮藏与加工技术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24</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21"/>
                <w:szCs w:val="21"/>
                <w:u w:val="none"/>
                <w:lang w:val="en-US" w:eastAsia="zh-CN" w:bidi="ar"/>
              </w:rPr>
              <w:t>食品发酵技术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24</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软饮料生产技术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粮油加工技术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4</w:t>
            </w:r>
          </w:p>
        </w:tc>
        <w:tc>
          <w:tcPr>
            <w:tcW w:w="0" w:type="auto"/>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64</w:t>
            </w:r>
          </w:p>
        </w:tc>
        <w:tc>
          <w:tcPr>
            <w:tcW w:w="52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32</w:t>
            </w:r>
          </w:p>
        </w:tc>
        <w:tc>
          <w:tcPr>
            <w:tcW w:w="52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32</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i w:val="0"/>
                <w:color w:val="auto"/>
                <w:kern w:val="0"/>
                <w:sz w:val="16"/>
                <w:szCs w:val="16"/>
                <w:u w:val="none"/>
                <w:lang w:val="en-US" w:eastAsia="zh-CN" w:bidi="ar"/>
              </w:rPr>
              <w:t xml:space="preserve"> </w:t>
            </w: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B</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0" w:type="auto"/>
            <w:vAlign w:val="center"/>
          </w:tcPr>
          <w:p>
            <w:pPr>
              <w:jc w:val="center"/>
              <w:outlineLvl w:val="1"/>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14501141029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岗位实习（一）</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30</w:t>
            </w:r>
          </w:p>
        </w:tc>
        <w:tc>
          <w:tcPr>
            <w:tcW w:w="522" w:type="dxa"/>
            <w:vAlign w:val="center"/>
          </w:tcPr>
          <w:p>
            <w:pPr>
              <w:jc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30</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1W</w:t>
            </w: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583" w:type="dxa"/>
            <w:vAlign w:val="center"/>
          </w:tcPr>
          <w:p>
            <w:pPr>
              <w:jc w:val="center"/>
              <w:rPr>
                <w:rFonts w:hint="eastAsia" w:ascii="宋体" w:hAnsi="宋体" w:eastAsia="宋体" w:cs="宋体"/>
                <w:i w:val="0"/>
                <w:color w:val="auto"/>
                <w:kern w:val="2"/>
                <w:sz w:val="16"/>
                <w:szCs w:val="16"/>
                <w:u w:val="none"/>
                <w:lang w:val="en-US" w:eastAsia="zh-CN" w:bidi="ar-SA"/>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2"/>
                <w:sz w:val="16"/>
                <w:szCs w:val="16"/>
                <w:u w:val="none"/>
                <w:lang w:val="en-US" w:eastAsia="zh-CN" w:bidi="ar-SA"/>
              </w:rPr>
              <w:t>D</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ascii="楷体_GB2312" w:hAnsi="楷体_GB2312" w:eastAsia="楷体_GB2312" w:cs="楷体_GB2312"/>
                <w:b w:val="0"/>
                <w:bCs/>
                <w:color w:val="000000" w:themeColor="text1"/>
                <w:sz w:val="18"/>
                <w:szCs w:val="18"/>
                <w:vertAlign w:val="baseline"/>
                <w:lang w:val="en-US" w:eastAsia="zh-CN"/>
                <w14:textFill>
                  <w14:solidFill>
                    <w14:schemeClr w14:val="tx1"/>
                  </w14:solidFill>
                </w14:textFill>
              </w:rPr>
              <w:t>（每周30课时1学分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14501184109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实习实训安全教育</w:t>
            </w:r>
          </w:p>
        </w:tc>
        <w:tc>
          <w:tcPr>
            <w:tcW w:w="0" w:type="auto"/>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30</w:t>
            </w:r>
          </w:p>
        </w:tc>
        <w:tc>
          <w:tcPr>
            <w:tcW w:w="522" w:type="dxa"/>
            <w:vAlign w:val="center"/>
          </w:tcPr>
          <w:p>
            <w:pPr>
              <w:jc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30</w:t>
            </w:r>
          </w:p>
        </w:tc>
        <w:tc>
          <w:tcPr>
            <w:tcW w:w="52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0</w:t>
            </w:r>
          </w:p>
        </w:tc>
        <w:tc>
          <w:tcPr>
            <w:tcW w:w="2915" w:type="dxa"/>
            <w:gridSpan w:val="5"/>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cs="宋体"/>
                <w:b w:val="0"/>
                <w:bCs/>
                <w:i w:val="0"/>
                <w:color w:val="auto"/>
                <w:sz w:val="16"/>
                <w:szCs w:val="16"/>
                <w:u w:val="none"/>
                <w:lang w:eastAsia="zh-CN"/>
              </w:rPr>
              <w:t>每学期</w:t>
            </w:r>
            <w:r>
              <w:rPr>
                <w:rFonts w:hint="eastAsia" w:cs="宋体"/>
                <w:b w:val="0"/>
                <w:bCs/>
                <w:i w:val="0"/>
                <w:color w:val="auto"/>
                <w:sz w:val="16"/>
                <w:szCs w:val="16"/>
                <w:u w:val="none"/>
                <w:lang w:val="en-US" w:eastAsia="zh-CN"/>
              </w:rPr>
              <w:t>6课时</w:t>
            </w: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default" w:ascii="楷体_GB2312" w:hAnsi="楷体_GB2312" w:eastAsia="楷体_GB2312" w:cs="楷体_GB2312"/>
                <w:b w:val="0"/>
                <w:bCs/>
                <w:color w:val="000000" w:themeColor="text1"/>
                <w:sz w:val="18"/>
                <w:szCs w:val="18"/>
                <w:vertAlign w:val="baseli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18"/>
                <w:szCs w:val="18"/>
                <w:vertAlign w:val="baseline"/>
                <w:lang w:val="en-US" w:eastAsia="zh-CN"/>
                <w14:textFill>
                  <w14:solidFill>
                    <w14:schemeClr w14:val="tx1"/>
                  </w14:solidFill>
                </w14:textFill>
              </w:rPr>
              <w:t>A</w:t>
            </w:r>
          </w:p>
        </w:tc>
        <w:tc>
          <w:tcPr>
            <w:tcW w:w="1061" w:type="dxa"/>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lang w:eastAsia="zh-CN"/>
                <w14:textFill>
                  <w14:solidFill>
                    <w14:schemeClr w14:val="tx1"/>
                  </w14:solidFill>
                </w14:textFill>
              </w:rPr>
            </w:pPr>
            <w:r>
              <w:rPr>
                <w:rFonts w:hint="eastAsia" w:ascii="宋体" w:hAnsi="宋体" w:eastAsia="宋体" w:cs="宋体"/>
                <w:b w:val="0"/>
                <w:bCs/>
                <w:i w:val="0"/>
                <w:color w:val="auto"/>
                <w:kern w:val="0"/>
                <w:sz w:val="16"/>
                <w:szCs w:val="16"/>
                <w:u w:val="none"/>
                <w:lang w:val="en-US" w:eastAsia="zh-CN" w:bidi="ar"/>
              </w:rPr>
              <w:t>生物技术系</w:t>
            </w: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0" w:type="auto"/>
            <w:vAlign w:val="center"/>
          </w:tcPr>
          <w:p>
            <w:pPr>
              <w:jc w:val="center"/>
              <w:outlineLvl w:val="1"/>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14501141030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岗位实习（二）</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30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780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0</w:t>
            </w:r>
          </w:p>
        </w:tc>
        <w:tc>
          <w:tcPr>
            <w:tcW w:w="52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780</w:t>
            </w:r>
          </w:p>
        </w:tc>
        <w:tc>
          <w:tcPr>
            <w:tcW w:w="583"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3"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386"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 xml:space="preserve">D </w:t>
            </w:r>
          </w:p>
        </w:tc>
        <w:tc>
          <w:tcPr>
            <w:tcW w:w="106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生物技术系</w:t>
            </w:r>
          </w:p>
        </w:tc>
        <w:tc>
          <w:tcPr>
            <w:tcW w:w="1312" w:type="dxa"/>
          </w:tcPr>
          <w:p>
            <w:pPr>
              <w:pStyle w:val="84"/>
              <w:jc w:val="center"/>
              <w:outlineLvl w:val="1"/>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18"/>
                <w:szCs w:val="18"/>
                <w:vertAlign w:val="baseline"/>
                <w:lang w:val="en-US" w:eastAsia="zh-CN"/>
                <w14:textFill>
                  <w14:solidFill>
                    <w14:schemeClr w14:val="tx1"/>
                  </w14:solidFill>
                </w14:textFill>
              </w:rPr>
              <w:t>（每周30课时1学分）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default" w:ascii="楷体_GB2312" w:hAnsi="楷体_GB2312" w:eastAsia="楷体_GB2312" w:cs="楷体_GB2312"/>
                <w:b w:val="0"/>
                <w:bCs/>
                <w:color w:val="000000" w:themeColor="text1"/>
                <w:sz w:val="28"/>
                <w:szCs w:val="28"/>
                <w:vertAlign w:val="baseline"/>
                <w:lang w:val="en-US" w:eastAsia="zh-CN"/>
                <w14:textFill>
                  <w14:solidFill>
                    <w14:schemeClr w14:val="tx1"/>
                  </w14:solidFill>
                </w14:textFill>
              </w:rPr>
            </w:pPr>
          </w:p>
        </w:tc>
        <w:tc>
          <w:tcPr>
            <w:tcW w:w="5842" w:type="dxa"/>
            <w:gridSpan w:val="6"/>
            <w:vAlign w:val="center"/>
          </w:tcPr>
          <w:p>
            <w:pPr>
              <w:jc w:val="center"/>
              <w:textAlignment w:val="center"/>
              <w:outlineLvl w:val="9"/>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lang w:val="en-US" w:eastAsia="zh-CN"/>
                <w14:textFill>
                  <w14:solidFill>
                    <w14:schemeClr w14:val="tx1"/>
                  </w14:solidFill>
                </w14:textFill>
              </w:rPr>
              <w:t>专业必修课小计</w:t>
            </w:r>
          </w:p>
        </w:tc>
        <w:tc>
          <w:tcPr>
            <w:tcW w:w="642" w:type="dxa"/>
            <w:vAlign w:val="center"/>
          </w:tcPr>
          <w:p>
            <w:pPr>
              <w:keepNext w:val="0"/>
              <w:keepLines w:val="0"/>
              <w:widowControl/>
              <w:suppressLineNumbers w:val="0"/>
              <w:jc w:val="center"/>
              <w:textAlignment w:val="center"/>
              <w:rPr>
                <w:rFonts w:hint="default" w:ascii="宋体" w:hAnsi="宋体" w:eastAsia="宋体" w:cs="宋体"/>
                <w:b w:val="0"/>
                <w:bCs/>
                <w:i w:val="0"/>
                <w:color w:val="auto"/>
                <w:kern w:val="2"/>
                <w:sz w:val="21"/>
                <w:szCs w:val="21"/>
                <w:u w:val="none"/>
                <w:lang w:val="en-US" w:eastAsia="zh-CN" w:bidi="ar-SA"/>
              </w:rPr>
            </w:pPr>
            <w:r>
              <w:rPr>
                <w:rFonts w:hint="eastAsia" w:ascii="宋体" w:hAnsi="宋体" w:eastAsia="宋体" w:cs="宋体"/>
                <w:b w:val="0"/>
                <w:bCs/>
                <w:i w:val="0"/>
                <w:color w:val="auto"/>
                <w:kern w:val="2"/>
                <w:sz w:val="21"/>
                <w:szCs w:val="21"/>
                <w:u w:val="none"/>
                <w:lang w:val="en-US" w:eastAsia="zh-CN" w:bidi="ar-SA"/>
              </w:rPr>
              <w:t>80</w:t>
            </w:r>
          </w:p>
        </w:tc>
        <w:tc>
          <w:tcPr>
            <w:tcW w:w="522" w:type="dxa"/>
            <w:vAlign w:val="center"/>
          </w:tcPr>
          <w:p>
            <w:pPr>
              <w:keepNext w:val="0"/>
              <w:keepLines w:val="0"/>
              <w:widowControl/>
              <w:suppressLineNumbers w:val="0"/>
              <w:jc w:val="center"/>
              <w:textAlignment w:val="center"/>
              <w:rPr>
                <w:rFonts w:hint="default" w:ascii="宋体" w:hAnsi="宋体" w:eastAsia="宋体" w:cs="宋体"/>
                <w:b w:val="0"/>
                <w:bCs/>
                <w:i w:val="0"/>
                <w:color w:val="auto"/>
                <w:kern w:val="2"/>
                <w:sz w:val="21"/>
                <w:szCs w:val="21"/>
                <w:u w:val="none"/>
                <w:lang w:val="en-US" w:eastAsia="zh-CN" w:bidi="ar-SA"/>
              </w:rPr>
            </w:pPr>
            <w:r>
              <w:rPr>
                <w:rFonts w:hint="eastAsia" w:ascii="宋体" w:hAnsi="宋体" w:eastAsia="宋体" w:cs="宋体"/>
                <w:b w:val="0"/>
                <w:bCs/>
                <w:i w:val="0"/>
                <w:color w:val="auto"/>
                <w:kern w:val="0"/>
                <w:sz w:val="21"/>
                <w:szCs w:val="21"/>
                <w:u w:val="none"/>
                <w:lang w:val="en-US" w:eastAsia="zh-CN" w:bidi="ar"/>
              </w:rPr>
              <w:t>1608</w:t>
            </w:r>
          </w:p>
        </w:tc>
        <w:tc>
          <w:tcPr>
            <w:tcW w:w="522" w:type="dxa"/>
            <w:vAlign w:val="center"/>
          </w:tcPr>
          <w:p>
            <w:pPr>
              <w:keepNext w:val="0"/>
              <w:keepLines w:val="0"/>
              <w:widowControl/>
              <w:suppressLineNumbers w:val="0"/>
              <w:jc w:val="center"/>
              <w:textAlignment w:val="center"/>
              <w:rPr>
                <w:rFonts w:hint="default" w:ascii="宋体" w:hAnsi="宋体" w:eastAsia="宋体" w:cs="宋体"/>
                <w:b w:val="0"/>
                <w:bCs/>
                <w:i w:val="0"/>
                <w:color w:val="auto"/>
                <w:kern w:val="2"/>
                <w:sz w:val="21"/>
                <w:szCs w:val="21"/>
                <w:u w:val="none"/>
                <w:lang w:val="en-US" w:eastAsia="zh-CN" w:bidi="ar-SA"/>
              </w:rPr>
            </w:pPr>
            <w:r>
              <w:rPr>
                <w:rFonts w:hint="eastAsia" w:ascii="宋体" w:hAnsi="宋体" w:eastAsia="宋体" w:cs="宋体"/>
                <w:b w:val="0"/>
                <w:bCs/>
                <w:i w:val="0"/>
                <w:color w:val="auto"/>
                <w:kern w:val="0"/>
                <w:sz w:val="21"/>
                <w:szCs w:val="21"/>
                <w:u w:val="none"/>
                <w:lang w:val="en-US" w:eastAsia="zh-CN" w:bidi="ar"/>
              </w:rPr>
              <w:t>446</w:t>
            </w:r>
          </w:p>
        </w:tc>
        <w:tc>
          <w:tcPr>
            <w:tcW w:w="522" w:type="dxa"/>
            <w:vAlign w:val="center"/>
          </w:tcPr>
          <w:p>
            <w:pPr>
              <w:keepNext w:val="0"/>
              <w:keepLines w:val="0"/>
              <w:widowControl/>
              <w:suppressLineNumbers w:val="0"/>
              <w:jc w:val="center"/>
              <w:textAlignment w:val="center"/>
              <w:rPr>
                <w:rFonts w:hint="default" w:ascii="宋体" w:hAnsi="宋体" w:eastAsia="宋体" w:cs="宋体"/>
                <w:b w:val="0"/>
                <w:bCs/>
                <w:i w:val="0"/>
                <w:color w:val="auto"/>
                <w:kern w:val="2"/>
                <w:sz w:val="21"/>
                <w:szCs w:val="21"/>
                <w:u w:val="none"/>
                <w:lang w:val="en-US" w:eastAsia="zh-CN" w:bidi="ar-SA"/>
              </w:rPr>
            </w:pPr>
            <w:r>
              <w:rPr>
                <w:rFonts w:hint="eastAsia" w:ascii="宋体" w:hAnsi="宋体" w:eastAsia="宋体" w:cs="宋体"/>
                <w:b w:val="0"/>
                <w:bCs/>
                <w:i w:val="0"/>
                <w:color w:val="auto"/>
                <w:kern w:val="2"/>
                <w:sz w:val="21"/>
                <w:szCs w:val="21"/>
                <w:u w:val="none"/>
                <w:lang w:val="en-US" w:eastAsia="zh-CN" w:bidi="ar-SA"/>
              </w:rPr>
              <w:t>1162</w:t>
            </w:r>
          </w:p>
        </w:tc>
        <w:tc>
          <w:tcPr>
            <w:tcW w:w="583"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8</w:t>
            </w:r>
          </w:p>
        </w:tc>
        <w:tc>
          <w:tcPr>
            <w:tcW w:w="583"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8</w:t>
            </w:r>
          </w:p>
        </w:tc>
        <w:tc>
          <w:tcPr>
            <w:tcW w:w="583"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12</w:t>
            </w:r>
          </w:p>
        </w:tc>
        <w:tc>
          <w:tcPr>
            <w:tcW w:w="583"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12</w:t>
            </w:r>
          </w:p>
        </w:tc>
        <w:tc>
          <w:tcPr>
            <w:tcW w:w="583"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8</w:t>
            </w:r>
          </w:p>
        </w:tc>
        <w:tc>
          <w:tcPr>
            <w:tcW w:w="0" w:type="auto"/>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386"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1061"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1312"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pStyle w:val="84"/>
              <w:ind w:left="113" w:right="113"/>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cs="宋体"/>
                <w:b w:val="0"/>
                <w:bCs w:val="0"/>
                <w:color w:val="000000" w:themeColor="text1"/>
                <w:kern w:val="0"/>
                <w:sz w:val="21"/>
                <w:szCs w:val="21"/>
                <w:lang w:val="en-US" w:eastAsia="zh-CN" w:bidi="ar-SA"/>
                <w14:textFill>
                  <w14:solidFill>
                    <w14:schemeClr w14:val="tx1"/>
                  </w14:solidFill>
                </w14:textFill>
              </w:rPr>
              <w:t>专  业 （技  能） 课</w:t>
            </w:r>
          </w:p>
        </w:tc>
        <w:tc>
          <w:tcPr>
            <w:tcW w:w="475" w:type="dxa"/>
            <w:vMerge w:val="restart"/>
            <w:vAlign w:val="center"/>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r>
              <w:rPr>
                <w:rFonts w:hint="eastAsia" w:cs="宋体"/>
                <w:b w:val="0"/>
                <w:bCs/>
                <w:color w:val="000000" w:themeColor="text1"/>
                <w:sz w:val="21"/>
                <w:szCs w:val="21"/>
                <w:vertAlign w:val="baseline"/>
                <w:lang w:val="en-US" w:eastAsia="zh-CN"/>
                <w14:textFill>
                  <w14:solidFill>
                    <w14:schemeClr w14:val="tx1"/>
                  </w14:solidFill>
                </w14:textFill>
              </w:rPr>
              <w:t>专业</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选修课</w:t>
            </w: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0" w:type="auto"/>
          </w:tcPr>
          <w:p>
            <w:pPr>
              <w:jc w:val="center"/>
              <w:outlineLvl w:val="1"/>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14501131155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食用菌栽培技术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48</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C</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14501142007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食品安全与质量管理(限选)</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0</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食品包装学</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0" w:type="auto"/>
          </w:tcPr>
          <w:p>
            <w:pPr>
              <w:jc w:val="center"/>
              <w:outlineLvl w:val="1"/>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14501142012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食品加工与创新</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C</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14501142016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食品原料学</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0" w:type="auto"/>
            <w:vAlign w:val="top"/>
          </w:tcPr>
          <w:p>
            <w:pPr>
              <w:jc w:val="center"/>
              <w:outlineLvl w:val="1"/>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14501131156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焙烤食品生产技术</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C</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食品工厂设计</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电工操作技能</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C</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C</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14501142019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食品仪器分析技术（限选）</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现代企业经营管理</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0" w:type="auto"/>
          </w:tcPr>
          <w:p>
            <w:pPr>
              <w:jc w:val="center"/>
              <w:outlineLvl w:val="1"/>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14501141014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食品营销学</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14501142009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食品标准与法规（限选）</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A</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0</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475"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14501141058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食品添加剂（限选）</w:t>
            </w:r>
          </w:p>
        </w:tc>
        <w:tc>
          <w:tcPr>
            <w:tcW w:w="0" w:type="auto"/>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B</w:t>
            </w:r>
          </w:p>
        </w:tc>
        <w:tc>
          <w:tcPr>
            <w:tcW w:w="658"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p>
        </w:tc>
        <w:tc>
          <w:tcPr>
            <w:tcW w:w="64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522"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14:textFill>
                  <w14:solidFill>
                    <w14:schemeClr w14:val="tx1"/>
                  </w14:solidFill>
                </w14:textFill>
              </w:rPr>
              <w:t>√</w:t>
            </w:r>
          </w:p>
        </w:tc>
        <w:tc>
          <w:tcPr>
            <w:tcW w:w="583" w:type="dxa"/>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583" w:type="dxa"/>
          </w:tcPr>
          <w:p>
            <w:pPr>
              <w:pStyle w:val="84"/>
              <w:jc w:val="center"/>
              <w:outlineLvl w:val="1"/>
              <w:rPr>
                <w:rFonts w:hint="default" w:ascii="Times New Roman" w:hAnsi="Times New Roman" w:eastAsia="宋体" w:cs="Times New Roman"/>
                <w:b w:val="0"/>
                <w:bCs/>
                <w:color w:val="000000" w:themeColor="text1"/>
                <w:kern w:val="0"/>
                <w:sz w:val="18"/>
                <w:szCs w:val="18"/>
                <w14:textFill>
                  <w14:solidFill>
                    <w14:schemeClr w14:val="tx1"/>
                  </w14:solidFill>
                </w14:textFill>
              </w:rPr>
            </w:pPr>
          </w:p>
        </w:tc>
        <w:tc>
          <w:tcPr>
            <w:tcW w:w="0" w:type="auto"/>
          </w:tcPr>
          <w:p>
            <w:pPr>
              <w:pStyle w:val="84"/>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p>
        </w:tc>
        <w:tc>
          <w:tcPr>
            <w:tcW w:w="386" w:type="dxa"/>
          </w:tcPr>
          <w:p>
            <w:pPr>
              <w:jc w:val="center"/>
              <w:outlineLvl w:val="1"/>
              <w:rPr>
                <w:rFonts w:hint="default" w:ascii="Times New Roman" w:hAnsi="Times New Roman" w:eastAsia="楷体_GB2312" w:cs="Times New Roman"/>
                <w:b w:val="0"/>
                <w:bCs/>
                <w:color w:val="000000" w:themeColor="text1"/>
                <w:sz w:val="18"/>
                <w:szCs w:val="18"/>
                <w:vertAlign w:val="baseline"/>
                <w14:textFill>
                  <w14:solidFill>
                    <w14:schemeClr w14:val="tx1"/>
                  </w14:solidFill>
                </w14:textFill>
              </w:rPr>
            </w:pPr>
            <w:r>
              <w:rPr>
                <w:rFonts w:hint="default" w:ascii="Times New Roman" w:hAnsi="Times New Roman" w:eastAsia="楷体_GB2312" w:cs="Times New Roman"/>
                <w:b w:val="0"/>
                <w:bCs/>
                <w:color w:val="000000" w:themeColor="text1"/>
                <w:sz w:val="18"/>
                <w:szCs w:val="18"/>
                <w:vertAlign w:val="baseline"/>
                <w:lang w:val="en-US" w:eastAsia="zh-CN"/>
                <w14:textFill>
                  <w14:solidFill>
                    <w14:schemeClr w14:val="tx1"/>
                  </w14:solidFill>
                </w14:textFill>
              </w:rPr>
              <w:t>B</w:t>
            </w:r>
          </w:p>
        </w:tc>
        <w:tc>
          <w:tcPr>
            <w:tcW w:w="1061"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1312" w:type="dxa"/>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p>
            <w:pPr>
              <w:pStyle w:val="84"/>
              <w:jc w:val="center"/>
              <w:outlineLvl w:val="1"/>
              <w:rPr>
                <w:rFonts w:hint="eastAsia" w:ascii="楷体_GB2312" w:hAnsi="楷体_GB2312" w:eastAsia="楷体_GB2312" w:cs="楷体_GB2312"/>
                <w:b w:val="0"/>
                <w:bCs/>
                <w:color w:val="000000" w:themeColor="text1"/>
                <w:sz w:val="28"/>
                <w:szCs w:val="28"/>
                <w:vertAlign w:val="baseline"/>
                <w14:textFill>
                  <w14:solidFill>
                    <w14:schemeClr w14:val="tx1"/>
                  </w14:solidFill>
                </w14:textFill>
              </w:rPr>
            </w:pPr>
          </w:p>
        </w:tc>
        <w:tc>
          <w:tcPr>
            <w:tcW w:w="5842" w:type="dxa"/>
            <w:gridSpan w:val="6"/>
            <w:vAlign w:val="center"/>
          </w:tcPr>
          <w:p>
            <w:pPr>
              <w:jc w:val="center"/>
              <w:textAlignment w:val="center"/>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专业选修课小计</w:t>
            </w:r>
          </w:p>
        </w:tc>
        <w:tc>
          <w:tcPr>
            <w:tcW w:w="642"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21</w:t>
            </w:r>
          </w:p>
        </w:tc>
        <w:tc>
          <w:tcPr>
            <w:tcW w:w="522"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336</w:t>
            </w:r>
          </w:p>
        </w:tc>
        <w:tc>
          <w:tcPr>
            <w:tcW w:w="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192</w:t>
            </w:r>
          </w:p>
        </w:tc>
        <w:tc>
          <w:tcPr>
            <w:tcW w:w="522" w:type="dxa"/>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144</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6</w:t>
            </w:r>
          </w:p>
        </w:tc>
        <w:tc>
          <w:tcPr>
            <w:tcW w:w="583" w:type="dxa"/>
            <w:vAlign w:val="center"/>
          </w:tcPr>
          <w:p>
            <w:pPr>
              <w:jc w:val="center"/>
              <w:textAlignment w:val="center"/>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9</w:t>
            </w:r>
          </w:p>
        </w:tc>
        <w:tc>
          <w:tcPr>
            <w:tcW w:w="0" w:type="auto"/>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0</w:t>
            </w:r>
          </w:p>
        </w:tc>
        <w:tc>
          <w:tcPr>
            <w:tcW w:w="386"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1061"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1312"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24" w:type="dxa"/>
            <w:gridSpan w:val="11"/>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平均周学时</w:t>
            </w:r>
          </w:p>
        </w:tc>
        <w:tc>
          <w:tcPr>
            <w:tcW w:w="583"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26</w:t>
            </w:r>
          </w:p>
        </w:tc>
        <w:tc>
          <w:tcPr>
            <w:tcW w:w="583" w:type="dxa"/>
            <w:vAlign w:val="center"/>
          </w:tcPr>
          <w:p>
            <w:pPr>
              <w:keepNext w:val="0"/>
              <w:keepLines w:val="0"/>
              <w:widowControl/>
              <w:suppressLineNumbers w:val="0"/>
              <w:jc w:val="center"/>
              <w:textAlignment w:val="top"/>
              <w:rPr>
                <w:rFonts w:hint="default" w:ascii="Times New Roman" w:hAnsi="Times New Roman" w:eastAsia="宋体" w:cs="Times New Roman"/>
                <w:bCs/>
                <w:color w:val="auto"/>
                <w:spacing w:val="0"/>
                <w:w w:val="79"/>
                <w:kern w:val="0"/>
                <w:sz w:val="21"/>
                <w:szCs w:val="21"/>
                <w:lang w:val="en-US" w:eastAsia="zh-CN" w:bidi="ar-SA"/>
              </w:rPr>
            </w:pPr>
            <w:r>
              <w:rPr>
                <w:rFonts w:hint="default" w:ascii="Times New Roman" w:hAnsi="Times New Roman" w:eastAsia="宋体" w:cs="Times New Roman"/>
                <w:bCs/>
                <w:color w:val="auto"/>
                <w:spacing w:val="0"/>
                <w:w w:val="79"/>
                <w:kern w:val="0"/>
                <w:sz w:val="21"/>
                <w:szCs w:val="21"/>
                <w:lang w:val="en-US" w:eastAsia="zh-CN" w:bidi="ar-SA"/>
              </w:rPr>
              <w:t>26.5</w:t>
            </w:r>
          </w:p>
        </w:tc>
        <w:tc>
          <w:tcPr>
            <w:tcW w:w="583" w:type="dxa"/>
            <w:vAlign w:val="center"/>
          </w:tcPr>
          <w:p>
            <w:pPr>
              <w:keepNext w:val="0"/>
              <w:keepLines w:val="0"/>
              <w:widowControl/>
              <w:suppressLineNumbers w:val="0"/>
              <w:jc w:val="center"/>
              <w:textAlignment w:val="top"/>
              <w:rPr>
                <w:rFonts w:hint="default" w:ascii="Times New Roman" w:hAnsi="Times New Roman" w:eastAsia="宋体" w:cs="Times New Roman"/>
                <w:bCs/>
                <w:color w:val="auto"/>
                <w:spacing w:val="0"/>
                <w:w w:val="79"/>
                <w:kern w:val="0"/>
                <w:sz w:val="21"/>
                <w:szCs w:val="21"/>
                <w:lang w:val="en-US" w:eastAsia="zh-CN" w:bidi="ar-SA"/>
              </w:rPr>
            </w:pPr>
            <w:r>
              <w:rPr>
                <w:rFonts w:hint="default" w:ascii="Times New Roman" w:hAnsi="Times New Roman" w:eastAsia="宋体" w:cs="Times New Roman"/>
                <w:bCs/>
                <w:color w:val="auto"/>
                <w:spacing w:val="0"/>
                <w:w w:val="79"/>
                <w:kern w:val="0"/>
                <w:sz w:val="21"/>
                <w:szCs w:val="21"/>
                <w:lang w:val="en-US" w:eastAsia="zh-CN" w:bidi="ar-SA"/>
              </w:rPr>
              <w:t>2</w:t>
            </w:r>
            <w:r>
              <w:rPr>
                <w:rFonts w:hint="eastAsia" w:ascii="Times New Roman" w:hAnsi="Times New Roman" w:eastAsia="宋体" w:cs="Times New Roman"/>
                <w:bCs/>
                <w:color w:val="auto"/>
                <w:spacing w:val="0"/>
                <w:w w:val="79"/>
                <w:kern w:val="0"/>
                <w:sz w:val="21"/>
                <w:szCs w:val="21"/>
                <w:lang w:val="en-US" w:eastAsia="zh-CN" w:bidi="ar-SA"/>
              </w:rPr>
              <w:t>0</w:t>
            </w:r>
            <w:r>
              <w:rPr>
                <w:rFonts w:hint="default" w:ascii="Times New Roman" w:hAnsi="Times New Roman" w:eastAsia="宋体" w:cs="Times New Roman"/>
                <w:bCs/>
                <w:color w:val="auto"/>
                <w:spacing w:val="0"/>
                <w:w w:val="79"/>
                <w:kern w:val="0"/>
                <w:sz w:val="21"/>
                <w:szCs w:val="21"/>
                <w:lang w:val="en-US" w:eastAsia="zh-CN" w:bidi="ar-SA"/>
              </w:rPr>
              <w:t>.5</w:t>
            </w:r>
          </w:p>
        </w:tc>
        <w:tc>
          <w:tcPr>
            <w:tcW w:w="583" w:type="dxa"/>
            <w:vAlign w:val="center"/>
          </w:tcPr>
          <w:p>
            <w:pPr>
              <w:keepNext w:val="0"/>
              <w:keepLines w:val="0"/>
              <w:widowControl/>
              <w:suppressLineNumbers w:val="0"/>
              <w:jc w:val="center"/>
              <w:textAlignment w:val="top"/>
              <w:rPr>
                <w:rFonts w:hint="default" w:ascii="Times New Roman" w:hAnsi="Times New Roman" w:eastAsia="宋体" w:cs="Times New Roman"/>
                <w:bCs/>
                <w:color w:val="auto"/>
                <w:spacing w:val="0"/>
                <w:w w:val="79"/>
                <w:kern w:val="0"/>
                <w:sz w:val="21"/>
                <w:szCs w:val="21"/>
                <w:lang w:val="en-US" w:eastAsia="zh-CN" w:bidi="ar-SA"/>
              </w:rPr>
            </w:pPr>
            <w:r>
              <w:rPr>
                <w:rFonts w:hint="default" w:ascii="Times New Roman" w:hAnsi="Times New Roman" w:eastAsia="宋体" w:cs="Times New Roman"/>
                <w:bCs/>
                <w:color w:val="auto"/>
                <w:spacing w:val="0"/>
                <w:w w:val="79"/>
                <w:kern w:val="0"/>
                <w:sz w:val="21"/>
                <w:szCs w:val="21"/>
                <w:lang w:val="en-US" w:eastAsia="zh-CN" w:bidi="ar-SA"/>
              </w:rPr>
              <w:t>21</w:t>
            </w:r>
          </w:p>
        </w:tc>
        <w:tc>
          <w:tcPr>
            <w:tcW w:w="583" w:type="dxa"/>
            <w:vAlign w:val="center"/>
          </w:tcPr>
          <w:p>
            <w:pPr>
              <w:keepNext w:val="0"/>
              <w:keepLines w:val="0"/>
              <w:widowControl/>
              <w:suppressLineNumbers w:val="0"/>
              <w:jc w:val="center"/>
              <w:textAlignment w:val="top"/>
              <w:rPr>
                <w:rFonts w:hint="default" w:ascii="Times New Roman" w:hAnsi="Times New Roman" w:eastAsia="宋体" w:cs="Times New Roman"/>
                <w:bCs/>
                <w:color w:val="auto"/>
                <w:spacing w:val="0"/>
                <w:w w:val="79"/>
                <w:kern w:val="0"/>
                <w:sz w:val="21"/>
                <w:szCs w:val="21"/>
                <w:lang w:val="en-US" w:eastAsia="zh-CN" w:bidi="ar-SA"/>
              </w:rPr>
            </w:pPr>
            <w:r>
              <w:rPr>
                <w:rFonts w:hint="default" w:ascii="Times New Roman" w:hAnsi="Times New Roman" w:eastAsia="宋体" w:cs="Times New Roman"/>
                <w:bCs/>
                <w:color w:val="auto"/>
                <w:spacing w:val="0"/>
                <w:w w:val="79"/>
                <w:kern w:val="0"/>
                <w:sz w:val="21"/>
                <w:szCs w:val="21"/>
                <w:lang w:val="en-US" w:eastAsia="zh-CN" w:bidi="ar-SA"/>
              </w:rPr>
              <w:t>1</w:t>
            </w:r>
            <w:r>
              <w:rPr>
                <w:rFonts w:hint="eastAsia" w:ascii="Times New Roman" w:hAnsi="Times New Roman" w:eastAsia="宋体" w:cs="Times New Roman"/>
                <w:bCs/>
                <w:color w:val="auto"/>
                <w:spacing w:val="0"/>
                <w:w w:val="79"/>
                <w:kern w:val="0"/>
                <w:sz w:val="21"/>
                <w:szCs w:val="21"/>
                <w:lang w:val="en-US" w:eastAsia="zh-CN" w:bidi="ar-SA"/>
              </w:rPr>
              <w:t>8</w:t>
            </w:r>
          </w:p>
        </w:tc>
        <w:tc>
          <w:tcPr>
            <w:tcW w:w="0" w:type="auto"/>
            <w:vAlign w:val="center"/>
          </w:tcPr>
          <w:p>
            <w:pPr>
              <w:keepNext w:val="0"/>
              <w:keepLines w:val="0"/>
              <w:widowControl/>
              <w:suppressLineNumbers w:val="0"/>
              <w:jc w:val="center"/>
              <w:textAlignment w:val="top"/>
              <w:rPr>
                <w:rFonts w:hint="eastAsia" w:ascii="Times New Roman" w:hAnsi="Times New Roman" w:eastAsia="宋体" w:cs="Times New Roman"/>
                <w:bCs/>
                <w:color w:val="auto"/>
                <w:spacing w:val="0"/>
                <w:w w:val="79"/>
                <w:kern w:val="0"/>
                <w:sz w:val="21"/>
                <w:szCs w:val="21"/>
                <w:lang w:val="en-US" w:eastAsia="zh-CN" w:bidi="ar-SA"/>
              </w:rPr>
            </w:pPr>
            <w:r>
              <w:rPr>
                <w:rFonts w:hint="default" w:ascii="Times New Roman" w:hAnsi="Times New Roman" w:eastAsia="宋体" w:cs="Times New Roman"/>
                <w:bCs/>
                <w:color w:val="auto"/>
                <w:spacing w:val="0"/>
                <w:w w:val="79"/>
                <w:kern w:val="0"/>
                <w:sz w:val="21"/>
                <w:szCs w:val="21"/>
                <w:lang w:val="en-US" w:eastAsia="zh-CN" w:bidi="ar-SA"/>
              </w:rPr>
              <w:t>0</w:t>
            </w:r>
          </w:p>
        </w:tc>
        <w:tc>
          <w:tcPr>
            <w:tcW w:w="386"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1061"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c>
          <w:tcPr>
            <w:tcW w:w="1312"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学分总计、学时总计</w:t>
            </w:r>
          </w:p>
        </w:tc>
        <w:tc>
          <w:tcPr>
            <w:tcW w:w="2208"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149</w:t>
            </w:r>
          </w:p>
        </w:tc>
        <w:tc>
          <w:tcPr>
            <w:tcW w:w="2332"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2742</w:t>
            </w:r>
          </w:p>
        </w:tc>
        <w:tc>
          <w:tcPr>
            <w:tcW w:w="2618"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w:t>
            </w:r>
          </w:p>
        </w:tc>
        <w:tc>
          <w:tcPr>
            <w:tcW w:w="1312"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选修课程：学分总计、学时总计、占总学时比例</w:t>
            </w:r>
          </w:p>
        </w:tc>
        <w:tc>
          <w:tcPr>
            <w:tcW w:w="2208"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27</w:t>
            </w:r>
          </w:p>
        </w:tc>
        <w:tc>
          <w:tcPr>
            <w:tcW w:w="2332"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432</w:t>
            </w:r>
          </w:p>
        </w:tc>
        <w:tc>
          <w:tcPr>
            <w:tcW w:w="2618"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15.8%</w:t>
            </w:r>
          </w:p>
        </w:tc>
        <w:tc>
          <w:tcPr>
            <w:tcW w:w="1312"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实践性教学：学时总计、占总学时比例</w:t>
            </w:r>
          </w:p>
        </w:tc>
        <w:tc>
          <w:tcPr>
            <w:tcW w:w="2208"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1610</w:t>
            </w:r>
          </w:p>
        </w:tc>
        <w:tc>
          <w:tcPr>
            <w:tcW w:w="2332" w:type="dxa"/>
            <w:gridSpan w:val="4"/>
            <w:vAlign w:val="center"/>
          </w:tcPr>
          <w:p>
            <w:pPr>
              <w:jc w:val="center"/>
              <w:textAlignment w:val="center"/>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58.7%</w:t>
            </w:r>
          </w:p>
        </w:tc>
        <w:tc>
          <w:tcPr>
            <w:tcW w:w="2618" w:type="dxa"/>
            <w:gridSpan w:val="4"/>
            <w:vAlign w:val="center"/>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w:t>
            </w:r>
          </w:p>
        </w:tc>
        <w:tc>
          <w:tcPr>
            <w:tcW w:w="1312" w:type="dxa"/>
          </w:tcPr>
          <w:p>
            <w:pPr>
              <w:jc w:val="center"/>
              <w:textAlignment w:val="center"/>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786" w:type="dxa"/>
            <w:gridSpan w:val="20"/>
          </w:tcPr>
          <w:p>
            <w:pPr>
              <w:widowControl/>
              <w:jc w:val="left"/>
              <w:textAlignment w:val="top"/>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注：</w:t>
            </w:r>
            <w:r>
              <w:rPr>
                <w:rFonts w:hint="eastAsia" w:ascii="宋体" w:hAnsi="宋体" w:eastAsia="宋体" w:cs="宋体"/>
                <w:bCs/>
                <w:color w:val="000000" w:themeColor="text1"/>
                <w:kern w:val="0"/>
                <w:sz w:val="21"/>
                <w:szCs w:val="21"/>
                <w14:textFill>
                  <w14:solidFill>
                    <w14:schemeClr w14:val="tx1"/>
                  </w14:solidFill>
                </w14:textFill>
              </w:rPr>
              <w:t>1.课堂教学周=教学活动周数（不小于20周）-实践教学周数；</w:t>
            </w:r>
          </w:p>
          <w:p>
            <w:pPr>
              <w:widowControl/>
              <w:ind w:firstLine="420" w:firstLineChars="200"/>
              <w:jc w:val="left"/>
              <w:textAlignment w:val="top"/>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2.平均周学时仅为校核各学期周学时均衡度；</w:t>
            </w:r>
          </w:p>
          <w:p>
            <w:pPr>
              <w:widowControl/>
              <w:ind w:firstLine="420" w:firstLineChars="200"/>
              <w:jc w:val="left"/>
              <w:textAlignment w:val="top"/>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3.W表示C类课程、军训训练、劳动安全教育、考试、毕业鉴定等的周数；</w:t>
            </w:r>
          </w:p>
          <w:p>
            <w:pPr>
              <w:widowControl/>
              <w:ind w:firstLine="420" w:firstLineChars="200"/>
              <w:jc w:val="left"/>
              <w:textAlignment w:val="top"/>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4.岗位实习可在</w:t>
            </w:r>
            <w:r>
              <w:rPr>
                <w:rFonts w:hint="eastAsia" w:ascii="宋体" w:hAnsi="宋体" w:eastAsia="宋体" w:cs="宋体"/>
                <w:bCs/>
                <w:color w:val="000000" w:themeColor="text1"/>
                <w:kern w:val="0"/>
                <w:sz w:val="21"/>
                <w:szCs w:val="21"/>
                <w:lang w:val="en-US" w:eastAsia="zh-CN"/>
                <w14:textFill>
                  <w14:solidFill>
                    <w14:schemeClr w14:val="tx1"/>
                  </w14:solidFill>
                </w14:textFill>
              </w:rPr>
              <w:t>5</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6</w:t>
            </w:r>
            <w:r>
              <w:rPr>
                <w:rFonts w:hint="eastAsia" w:ascii="宋体" w:hAnsi="宋体" w:eastAsia="宋体" w:cs="宋体"/>
                <w:bCs/>
                <w:color w:val="000000" w:themeColor="text1"/>
                <w:kern w:val="0"/>
                <w:sz w:val="21"/>
                <w:szCs w:val="21"/>
                <w14:textFill>
                  <w14:solidFill>
                    <w14:schemeClr w14:val="tx1"/>
                  </w14:solidFill>
                </w14:textFill>
              </w:rPr>
              <w:t>学期分段安排，累计不少于6个月（26周）；</w:t>
            </w:r>
          </w:p>
          <w:p>
            <w:pPr>
              <w:widowControl/>
              <w:ind w:firstLine="420" w:firstLineChars="200"/>
              <w:jc w:val="left"/>
              <w:textAlignment w:val="top"/>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5.选修课中明确各项工作和学分的转换。</w:t>
            </w:r>
          </w:p>
          <w:p>
            <w:pPr>
              <w:widowControl/>
              <w:ind w:firstLine="420" w:firstLineChars="200"/>
              <w:jc w:val="left"/>
              <w:textAlignment w:val="top"/>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6.标注★的为专业核心课程。</w:t>
            </w:r>
          </w:p>
          <w:p>
            <w:pPr>
              <w:widowControl/>
              <w:ind w:firstLine="420" w:firstLineChars="200"/>
              <w:jc w:val="left"/>
              <w:textAlignment w:val="top"/>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7.</w:t>
            </w:r>
            <w:r>
              <w:rPr>
                <w:rFonts w:hint="eastAsia" w:ascii="宋体" w:hAnsi="宋体" w:eastAsia="宋体" w:cs="宋体"/>
                <w:bCs/>
                <w:color w:val="000000" w:themeColor="text1"/>
                <w:kern w:val="0"/>
                <w:sz w:val="21"/>
                <w:szCs w:val="21"/>
                <w:lang w:val="en-US" w:eastAsia="zh-CN"/>
                <w14:textFill>
                  <w14:solidFill>
                    <w14:schemeClr w14:val="tx1"/>
                  </w14:solidFill>
                </w14:textFill>
              </w:rPr>
              <w:t xml:space="preserve">“课程类型”（A）理论课   （B）理论+实践    （C）实践课； </w:t>
            </w:r>
          </w:p>
          <w:p>
            <w:pPr>
              <w:widowControl/>
              <w:ind w:firstLine="630" w:firstLineChars="300"/>
              <w:jc w:val="left"/>
              <w:textAlignment w:val="top"/>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“课程考核”：（A）开卷考试   （B）闭卷考试  （C）实践考核  （D）实习鉴定  （E）报告评定</w:t>
            </w:r>
          </w:p>
          <w:p>
            <w:pPr>
              <w:widowControl/>
              <w:jc w:val="left"/>
              <w:textAlignment w:val="top"/>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 xml:space="preserve">    8.专业选修课实行13选7，专业限选课4门，实操课1门，其它2门。</w:t>
            </w:r>
          </w:p>
        </w:tc>
      </w:tr>
    </w:tbl>
    <w:p>
      <w:pPr>
        <w:pStyle w:val="84"/>
        <w:outlineLvl w:val="1"/>
        <w:rPr>
          <w:rFonts w:hint="eastAsia" w:ascii="楷体_GB2312" w:hAnsi="楷体_GB2312" w:eastAsia="楷体_GB2312" w:cs="楷体_GB2312"/>
          <w:b w:val="0"/>
          <w:bCs/>
          <w:color w:val="000000" w:themeColor="text1"/>
          <w:sz w:val="28"/>
          <w:szCs w:val="28"/>
          <w14:textFill>
            <w14:solidFill>
              <w14:schemeClr w14:val="tx1"/>
            </w14:solidFill>
          </w14:textFill>
        </w:rPr>
      </w:pPr>
    </w:p>
    <w:p>
      <w:pPr>
        <w:pStyle w:val="84"/>
        <w:outlineLvl w:val="1"/>
        <w:rPr>
          <w:rFonts w:hint="default" w:ascii="楷体_GB2312" w:hAnsi="楷体_GB2312" w:eastAsia="楷体_GB2312" w:cs="楷体_GB2312"/>
          <w:b w:val="0"/>
          <w:bCs/>
          <w:color w:val="000000" w:themeColor="text1"/>
          <w:sz w:val="28"/>
          <w:szCs w:val="28"/>
          <w:lang w:val="en-US" w:eastAsia="zh-CN"/>
          <w14:textFill>
            <w14:solidFill>
              <w14:schemeClr w14:val="tx1"/>
            </w14:solidFill>
          </w14:textFill>
        </w:rPr>
        <w:sectPr>
          <w:headerReference r:id="rId5" w:type="default"/>
          <w:footerReference r:id="rId6" w:type="default"/>
          <w:pgSz w:w="16838" w:h="11906" w:orient="landscape"/>
          <w:pgMar w:top="1418" w:right="1134" w:bottom="244" w:left="1134" w:header="964" w:footer="1304" w:gutter="0"/>
          <w:pgNumType w:fmt="decimal"/>
          <w:cols w:space="720" w:num="1"/>
          <w:docGrid w:linePitch="312" w:charSpace="0"/>
        </w:sectPr>
      </w:pPr>
    </w:p>
    <w:bookmarkEnd w:id="32"/>
    <w:bookmarkEnd w:id="33"/>
    <w:p>
      <w:pPr>
        <w:pStyle w:val="35"/>
        <w:keepNext w:val="0"/>
        <w:keepLines w:val="0"/>
        <w:pageBreakBefore w:val="0"/>
        <w:widowControl w:val="0"/>
        <w:kinsoku/>
        <w:wordWrap/>
        <w:overflowPunct/>
        <w:topLinePunct w:val="0"/>
        <w:autoSpaceDE/>
        <w:autoSpaceDN/>
        <w:bidi w:val="0"/>
        <w:adjustRightInd/>
        <w:snapToGrid w:val="0"/>
        <w:spacing w:line="480" w:lineRule="exact"/>
        <w:ind w:left="279" w:leftChars="133" w:firstLine="280" w:firstLineChars="100"/>
        <w:textAlignment w:val="auto"/>
        <w:outlineLvl w:val="0"/>
        <w:rPr>
          <w:rFonts w:hint="eastAsia" w:ascii="黑体" w:hAnsi="黑体" w:eastAsia="黑体" w:cs="黑体"/>
          <w:b w:val="0"/>
          <w:bCs/>
          <w:color w:val="000000" w:themeColor="text1"/>
          <w:sz w:val="28"/>
          <w:szCs w:val="28"/>
          <w14:textFill>
            <w14:solidFill>
              <w14:schemeClr w14:val="tx1"/>
            </w14:solidFill>
          </w14:textFill>
        </w:rPr>
      </w:pPr>
      <w:bookmarkStart w:id="38" w:name="_Toc38201841"/>
      <w:bookmarkStart w:id="39" w:name="_Toc31424"/>
      <w:bookmarkStart w:id="40" w:name="_Toc38299254"/>
      <w:bookmarkStart w:id="41" w:name="_Hlk98766987"/>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14:textFill>
            <w14:solidFill>
              <w14:schemeClr w14:val="tx1"/>
            </w14:solidFill>
          </w14:textFill>
        </w:rPr>
        <w:t>实施与保障</w:t>
      </w:r>
      <w:bookmarkEnd w:id="38"/>
      <w:bookmarkEnd w:id="39"/>
      <w:bookmarkEnd w:id="40"/>
    </w:p>
    <w:bookmarkEnd w:id="41"/>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000000" w:themeColor="text1"/>
          <w:sz w:val="28"/>
          <w:szCs w:val="28"/>
          <w14:textFill>
            <w14:solidFill>
              <w14:schemeClr w14:val="tx1"/>
            </w14:solidFill>
          </w14:textFill>
        </w:rPr>
      </w:pPr>
      <w:bookmarkStart w:id="42" w:name="_Toc25638"/>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一</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师资队伍</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专业带头人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专业带头人原则上应具有副高及以上职称，能够较好地把握国内外</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食品</w:t>
      </w:r>
      <w:r>
        <w:rPr>
          <w:rFonts w:hint="eastAsia" w:ascii="仿宋_GB2312" w:hAnsi="仿宋_GB2312" w:eastAsia="仿宋_GB2312" w:cs="仿宋_GB2312"/>
          <w:bCs/>
          <w:color w:val="000000" w:themeColor="text1"/>
          <w:sz w:val="28"/>
          <w:szCs w:val="28"/>
          <w14:textFill>
            <w14:solidFill>
              <w14:schemeClr w14:val="tx1"/>
            </w14:solidFill>
          </w14:textFill>
        </w:rPr>
        <w:t>行业、专业发展，能广泛联系行业企业，了解行业企业对本专业人才的需求实际，教学设计、专业研究能力强，组织开展教科研工作能力强，在本区域或本领域具有一定的专业影响力。</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骨干教师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专任教师应具有高校教师资格；有理想情操、有扎实学识、有仁爱之心；具有</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食品科学、食品工程</w:t>
      </w:r>
      <w:r>
        <w:rPr>
          <w:rFonts w:hint="eastAsia" w:ascii="仿宋_GB2312" w:hAnsi="仿宋_GB2312" w:eastAsia="仿宋_GB2312" w:cs="仿宋_GB2312"/>
          <w:bCs/>
          <w:color w:val="000000" w:themeColor="text1"/>
          <w:sz w:val="28"/>
          <w:szCs w:val="28"/>
          <w14:textFill>
            <w14:solidFill>
              <w14:schemeClr w14:val="tx1"/>
            </w14:solidFill>
          </w14:textFill>
        </w:rPr>
        <w:t>等相关专业本科及以上学历；具有扎实的本专业相关理论功底和实践能力；具有较强信息化教学能力，能够开展课程教学改革和科学研究；有每5年累计不少于6个月的企业实践经历。</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14:textFill>
            <w14:solidFill>
              <w14:schemeClr w14:val="tx1"/>
            </w14:solidFill>
          </w14:textFill>
        </w:rPr>
        <w:t>兼职教师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教学、实习实训指导和学生职业发展规划指导等教学任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000000" w:themeColor="text1"/>
          <w:sz w:val="28"/>
          <w:szCs w:val="28"/>
          <w14:textFill>
            <w14:solidFill>
              <w14:schemeClr w14:val="tx1"/>
            </w14:solidFill>
          </w14:textFill>
        </w:rPr>
      </w:pPr>
      <w:bookmarkStart w:id="43" w:name="_Toc31426"/>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二</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教学设施</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校内实践教学条件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bCs/>
          <w:color w:val="000000" w:themeColor="text1"/>
          <w:sz w:val="28"/>
          <w:szCs w:val="28"/>
          <w14:textFill>
            <w14:solidFill>
              <w14:schemeClr w14:val="tx1"/>
            </w14:solidFill>
          </w14:textFill>
        </w:rPr>
        <w:t>专业基础及专业实训中心</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14:textFill>
            <w14:solidFill>
              <w14:schemeClr w14:val="tx1"/>
            </w14:solidFill>
          </w14:textFill>
        </w:rPr>
        <w:t>处，具有先进的焙烤加工设备、果蔬加工车间、果酒酿造车间、肉制品加工设备、乳制品加工设备、罐头制品加工设备、基础化学分析设备，食品检测设备；具有焙烤一体化、肉制品加工、果蔬加工、基础化学、理化分析、微</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生物</w:t>
      </w:r>
      <w:r>
        <w:rPr>
          <w:rFonts w:hint="eastAsia" w:ascii="仿宋_GB2312" w:hAnsi="仿宋_GB2312" w:eastAsia="仿宋_GB2312" w:cs="仿宋_GB2312"/>
          <w:bCs/>
          <w:color w:val="000000" w:themeColor="text1"/>
          <w:sz w:val="28"/>
          <w:szCs w:val="28"/>
          <w14:textFill>
            <w14:solidFill>
              <w14:schemeClr w14:val="tx1"/>
            </w14:solidFill>
          </w14:textFill>
        </w:rPr>
        <w:t>检验、色谱分析实验室、光谱分析实训室、营养配餐、仿真实训等17个</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实验</w:t>
      </w:r>
      <w:r>
        <w:rPr>
          <w:rFonts w:hint="eastAsia" w:ascii="仿宋_GB2312" w:hAnsi="仿宋_GB2312" w:eastAsia="仿宋_GB2312" w:cs="仿宋_GB2312"/>
          <w:bCs/>
          <w:color w:val="000000" w:themeColor="text1"/>
          <w:sz w:val="28"/>
          <w:szCs w:val="28"/>
          <w14:textFill>
            <w14:solidFill>
              <w14:schemeClr w14:val="tx1"/>
            </w14:solidFill>
          </w14:textFill>
        </w:rPr>
        <w:t>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）焙烤食品加工实训室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焙烤食品加工实训室配备有打蛋机、和面机、醒发箱、电烤炉、酥皮机、搓圆机、面包切片机等，包装机、油炸机、台车、冰水机等，具有足够数量的烘焙模具等；用于食品加工机械与设备、粮油食品加工技术等课程的教学与实训。</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（2）罐制品</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加工实训室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罐制品实训室配备有果蔬清洗机、斩拌机、真空滚揉机、液压灌肠机、盐水注射机、拌馅机、烟熏炉、起酥机、肉丸打浆机、肉丸成型机、真空包装机、全自动电加热油炸机、真空干燥箱、碎冰机、夹层锅等生产设备；用于罐头制品加工技术、食品加工机械与设备等课程的教学与实训。</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果蔬贮藏与加工实训室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果蔬贮藏与加工实训室配备有小型果蔬贮藏冷库、02 与 CO2 测定仪、去皮机、切菜机、清洗机、打浆机、高压杀菌锅、真空渗汁机、(罐机、排气箱、干燥箱、夹层锅、冰箱冰柜、速冻机、真空包装机等设备，以及足够数量的电磁炉、电子秤等；用于绿色食品生产基础、绿色果蔬食品加工技术、食品加工机械与设备。</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食品理化分析实训室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食品理化分析实训室配备有电子天平(0.1 mg/0.01g)、折光计、比重计、黏度计、pH 计、可见分光光度计、紫外分光光度计、自动电位滴定仪、凯氏定氮仪(含消化装置)、粗脂肪测定仪，以及粉碎机、搅拌器、恒温水浴锅、马弗炉、电热干燥箱等；用于食品理化分析技术等课程的教学与实训。</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食品微生物检验实训室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食品微生物检验实训室配备有电子生物显微镜、超净工作台、电热恒温培养箱、高压蒸汽灭菌锅、生化培养箱、均质机、生物安全柜，以及恒温水浴锅、电子天平、菌落计数器等；用于食品微生物学、食品微生物检验技术等课程的教学与实训。</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食品仪器分析实训室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食品仪器分析实训室配备有原子吸收分光光度计、高效液相色谱仪、气相色谱仪、食品安全检测仪、肉制品检测仪等大型分析仪器，以及涡旋振荡器、消化装置、旋转蒸发仪、氮吹仪、固相萃取仪(含真空泵)、离心机等；用于食品仪器分析技术、绿色食品生产环境检测等课程的教学与实训。</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28"/>
          <w:szCs w:val="28"/>
          <w14:textFill>
            <w14:solidFill>
              <w14:schemeClr w14:val="tx1"/>
            </w14:solidFill>
          </w14:textFill>
        </w:rPr>
        <w:t>校外实践教学条件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color w:val="000000" w:themeColor="text1"/>
          <w:sz w:val="28"/>
          <w:szCs w:val="28"/>
          <w14:textFill>
            <w14:solidFill>
              <w14:schemeClr w14:val="tx1"/>
            </w14:solidFill>
          </w14:textFill>
        </w:rPr>
      </w:pPr>
      <w:bookmarkStart w:id="44" w:name="_Toc24701"/>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本专业建有稳定的</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15个</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校外实习实训基地；能涵盖当前相关产业发展的主流技术，能够开展绿色食品生产与检验等实习实训活动，实训设施齐备，实训岗位、能够配备相应数量的指导教师对学生实习实训进行指导和管理；有保证实习生日常工作、学习实训、生活的规章制度，有安全、保险保障。</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pPr>
      <w:bookmarkStart w:id="45" w:name="_Toc29704"/>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三</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）教学资源</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教学资源主要包括能够满足学生专业学习、教师专业教学研究和教学实施所需的教材、图书文献及数字教学资源等。</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教材选用基本要求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按照国家规定选用优质教材，禁止不合格的教材进入课堂。学校建立</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有教材工作委员会</w:t>
      </w:r>
      <w:r>
        <w:rPr>
          <w:rFonts w:hint="eastAsia" w:ascii="仿宋_GB2312" w:hAnsi="仿宋_GB2312" w:eastAsia="仿宋_GB2312" w:cs="仿宋_GB2312"/>
          <w:bCs/>
          <w:color w:val="000000" w:themeColor="text1"/>
          <w:sz w:val="28"/>
          <w:szCs w:val="28"/>
          <w14:textFill>
            <w14:solidFill>
              <w14:schemeClr w14:val="tx1"/>
            </w14:solidFill>
          </w14:textFill>
        </w:rPr>
        <w:t>，完善教材选用制度，经过规范程序择优选用教材。</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图书文献配备基本要求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图书文献配备能满足人才培养、专业建设、教科研等工作的需要，方便师生查询、借阅。专业类图书文献主要包括：有关发电厂及电力系统的技术、标准、方法、操作规范以及实务案例类图书等。</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14:textFill>
            <w14:solidFill>
              <w14:schemeClr w14:val="tx1"/>
            </w14:solidFill>
          </w14:textFill>
        </w:rPr>
        <w:t>数字教学资源配置基本要求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pPr>
      <w:bookmarkStart w:id="46" w:name="_Toc23351"/>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四</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）教学方法</w:t>
      </w:r>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教学方法</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不断探索教学模式和教学方法的改革与创新，探索任务驱动、项目导向等有利于增强学生能力的教学模式，探索课堂与实习地点一体化，学生在教师和技术人员的共同指导下学习和实践，实现教室与</w:t>
      </w:r>
      <w:r>
        <w:rPr>
          <w:rFonts w:hint="eastAsia" w:ascii="仿宋_GB2312" w:hAnsi="仿宋_GB2312" w:eastAsia="仿宋_GB2312" w:cs="仿宋_GB2312"/>
          <w:color w:val="000000" w:themeColor="text1"/>
          <w:sz w:val="28"/>
          <w:szCs w:val="28"/>
          <w:lang w:eastAsia="zh-CN"/>
          <w14:textFill>
            <w14:solidFill>
              <w14:schemeClr w14:val="tx1"/>
            </w14:solidFill>
          </w14:textFill>
        </w:rPr>
        <w:t>实践场地</w:t>
      </w:r>
      <w:r>
        <w:rPr>
          <w:rFonts w:hint="eastAsia" w:ascii="仿宋_GB2312" w:hAnsi="仿宋_GB2312" w:eastAsia="仿宋_GB2312" w:cs="仿宋_GB2312"/>
          <w:color w:val="000000" w:themeColor="text1"/>
          <w:sz w:val="28"/>
          <w:szCs w:val="28"/>
          <w14:textFill>
            <w14:solidFill>
              <w14:schemeClr w14:val="tx1"/>
            </w14:solidFill>
          </w14:textFill>
        </w:rPr>
        <w:t>合一、教师与师傅合一、学生与徒弟合一、作业与产品合一，在真实职业情境中实施教学，教学方法以边讲边练、讲练结合为主，强化学生能力培养。</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教学手段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充分运用现代教育技术，通过实物展示、动画演示、视频资料，将</w:t>
      </w:r>
      <w:r>
        <w:rPr>
          <w:rFonts w:hint="eastAsia" w:ascii="仿宋_GB2312" w:hAnsi="仿宋_GB2312" w:eastAsia="仿宋_GB2312" w:cs="仿宋_GB2312"/>
          <w:color w:val="000000" w:themeColor="text1"/>
          <w:sz w:val="28"/>
          <w:szCs w:val="28"/>
          <w:lang w:eastAsia="zh-CN"/>
          <w14:textFill>
            <w14:solidFill>
              <w14:schemeClr w14:val="tx1"/>
            </w14:solidFill>
          </w14:textFill>
        </w:rPr>
        <w:t>教学内容</w:t>
      </w:r>
      <w:r>
        <w:rPr>
          <w:rFonts w:hint="eastAsia" w:ascii="仿宋_GB2312" w:hAnsi="仿宋_GB2312" w:eastAsia="仿宋_GB2312" w:cs="仿宋_GB2312"/>
          <w:color w:val="000000" w:themeColor="text1"/>
          <w:sz w:val="28"/>
          <w:szCs w:val="28"/>
          <w14:textFill>
            <w14:solidFill>
              <w14:schemeClr w14:val="tx1"/>
            </w14:solidFill>
          </w14:textFill>
        </w:rPr>
        <w:t>利用生动的图像及动画形式进行虚拟演示，优化教学过程，给学生比较强烈的直观感受，有助于学生理解，同时使课堂教学生动活泼、引人入胜，提高教学质量和效率。</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pPr>
      <w:bookmarkStart w:id="47" w:name="_Toc3972"/>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（五）学习评价</w:t>
      </w:r>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做好课程教学设计，做好专业技能和学情分析是做好教学评价的基础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严格落实培养目标和培养规格要求， 在教学设计中加大过程考核、实践技能考核成绩在课程总成绩中的比重。 同时各门课程不断健全多元化考核评价体系，利用超星学习通网络教学平台功能，对学生学习过程监测、评价与反馈机制， 引导学生自我管理、主动学习，提高学习效率。 同时，强化实习、实训、毕业设计等实践性教学环节的全过程管理与考核评价。</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在评价主体方面，以学校和企业联合评价为主，学生自评、同学互评为辅。 在课程评价的过程中， 专业教研室充分发挥各门课程检查主体的积极性和主动性，采用积极手段，不断激励 教师不断改进和提高教学质量， 同时广泛吸收行业企业单位、合作企业、学生家长等参与学生质量 评价， 建立多方共同参与评价的开放式综合评价制度。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评价方法方面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提倡灵活多样的考核方式，将过程评价和结果评价相结合，开卷考试与答辩相结合，笔试与操作考核相结合，突出学生的能力考核和技能考核。在项目课程中，参照企业的评价方式，推行等级评价方式。生产性实习和岗位实习的评价由校内指导教师和企业指导教师共同完成。</w:t>
      </w:r>
      <w:r>
        <w:rPr>
          <w:rFonts w:hint="eastAsia" w:ascii="仿宋_GB2312" w:hAnsi="仿宋_GB2312" w:eastAsia="仿宋_GB2312" w:cs="仿宋_GB2312"/>
          <w:color w:val="000000" w:themeColor="text1"/>
          <w:sz w:val="28"/>
          <w:szCs w:val="28"/>
          <w:lang w:eastAsia="zh-CN"/>
          <w14:textFill>
            <w14:solidFill>
              <w14:schemeClr w14:val="tx1"/>
            </w14:solidFill>
          </w14:textFill>
        </w:rPr>
        <w:t>逐步推进落实课证融通，实现以证代考。比如，在校期间学生考取</w:t>
      </w:r>
      <w:r>
        <w:rPr>
          <w:rFonts w:hint="eastAsia" w:ascii="仿宋_GB2312" w:hAnsi="仿宋_GB2312" w:eastAsia="仿宋_GB2312" w:cs="仿宋_GB2312"/>
          <w:color w:val="000000" w:themeColor="text1"/>
          <w:sz w:val="28"/>
          <w:szCs w:val="28"/>
          <w14:textFill>
            <w14:solidFill>
              <w14:schemeClr w14:val="tx1"/>
            </w14:solidFill>
          </w14:textFill>
        </w:rPr>
        <w:t>农产品食品检验员</w:t>
      </w:r>
      <w:r>
        <w:rPr>
          <w:rFonts w:hint="eastAsia" w:ascii="仿宋_GB2312" w:hAnsi="仿宋_GB2312" w:eastAsia="仿宋_GB2312" w:cs="仿宋_GB2312"/>
          <w:color w:val="000000" w:themeColor="text1"/>
          <w:sz w:val="28"/>
          <w:szCs w:val="28"/>
          <w:lang w:eastAsia="zh-CN"/>
          <w14:textFill>
            <w14:solidFill>
              <w14:schemeClr w14:val="tx1"/>
            </w14:solidFill>
          </w14:textFill>
        </w:rPr>
        <w:t>中级证书，不用参加《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食品检验与分析》课程的考试；在校期间学生考取食品合规管理职业技能等级（初级）证书，不用参加《食品标准与法规（限选）》课程的考试；在校期间学生考取食品合规管理职业技能等级（中级）证书，不用参加《食品安全与质量管理(限选)》课程的考试。</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1"/>
        <w:rPr>
          <w:rFonts w:hint="eastAsia"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lang w:val="en-US" w:eastAsia="zh-CN"/>
          <w14:textFill>
            <w14:solidFill>
              <w14:schemeClr w14:val="tx1"/>
            </w14:solidFill>
          </w14:textFill>
        </w:rPr>
        <w:t>六</w:t>
      </w: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w:t>
      </w:r>
      <w:r>
        <w:rPr>
          <w:rFonts w:hint="eastAsia" w:ascii="楷体_GB2312" w:hAnsi="楷体_GB2312" w:eastAsia="楷体_GB2312" w:cs="楷体_GB2312"/>
          <w:b w:val="0"/>
          <w:bCs/>
          <w:color w:val="000000" w:themeColor="text1"/>
          <w:sz w:val="28"/>
          <w:szCs w:val="28"/>
          <w14:textFill>
            <w14:solidFill>
              <w14:schemeClr w14:val="tx1"/>
            </w14:solidFill>
          </w14:textFill>
        </w:rPr>
        <w:t>质量管理</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组织保障</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学院实施</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z w:val="28"/>
          <w:szCs w:val="28"/>
          <w14:textFill>
            <w14:solidFill>
              <w14:schemeClr w14:val="tx1"/>
            </w14:solidFill>
          </w14:textFill>
        </w:rPr>
        <w:t>、系（部）二级教学质量管理机制。</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）学院</w:t>
      </w:r>
      <w:r>
        <w:rPr>
          <w:rFonts w:hint="eastAsia" w:ascii="仿宋_GB2312" w:hAnsi="仿宋_GB2312" w:eastAsia="仿宋_GB2312" w:cs="仿宋_GB2312"/>
          <w:color w:val="000000" w:themeColor="text1"/>
          <w:sz w:val="28"/>
          <w:szCs w:val="28"/>
          <w14:textFill>
            <w14:solidFill>
              <w14:schemeClr w14:val="tx1"/>
            </w14:solidFill>
          </w14:textFill>
        </w:rPr>
        <w:t>相关部门实施一级管理</w:t>
      </w:r>
    </w:p>
    <w:p>
      <w:pPr>
        <w:keepNext w:val="0"/>
        <w:keepLines w:val="0"/>
        <w:pageBreakBefore w:val="0"/>
        <w:widowControl w:val="0"/>
        <w:kinsoku/>
        <w:wordWrap/>
        <w:overflowPunct/>
        <w:topLinePunct w:val="0"/>
        <w:autoSpaceDE/>
        <w:autoSpaceDN/>
        <w:bidi w:val="0"/>
        <w:adjustRightInd/>
        <w:spacing w:line="480" w:lineRule="exact"/>
        <w:ind w:firstLine="562"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专业建设</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委员会：</w:t>
      </w:r>
      <w:r>
        <w:rPr>
          <w:rFonts w:hint="eastAsia" w:ascii="仿宋_GB2312" w:hAnsi="仿宋_GB2312" w:eastAsia="仿宋_GB2312" w:cs="仿宋_GB2312"/>
          <w:color w:val="000000" w:themeColor="text1"/>
          <w:sz w:val="28"/>
          <w:szCs w:val="28"/>
          <w14:textFill>
            <w14:solidFill>
              <w14:schemeClr w14:val="tx1"/>
            </w14:solidFill>
          </w14:textFill>
        </w:rPr>
        <w:t>行使</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学院</w:t>
      </w:r>
      <w:r>
        <w:rPr>
          <w:rFonts w:hint="eastAsia" w:ascii="仿宋_GB2312" w:hAnsi="仿宋_GB2312" w:eastAsia="仿宋_GB2312" w:cs="仿宋_GB2312"/>
          <w:color w:val="000000" w:themeColor="text1"/>
          <w:sz w:val="28"/>
          <w:szCs w:val="28"/>
          <w14:textFill>
            <w14:solidFill>
              <w14:schemeClr w14:val="tx1"/>
            </w14:solidFill>
          </w14:textFill>
        </w:rPr>
        <w:t>教学指导职能。主要监控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专业</w:t>
      </w:r>
      <w:r>
        <w:rPr>
          <w:rFonts w:hint="eastAsia" w:ascii="仿宋_GB2312" w:hAnsi="仿宋_GB2312" w:eastAsia="仿宋_GB2312" w:cs="仿宋_GB2312"/>
          <w:color w:val="000000" w:themeColor="text1"/>
          <w:sz w:val="28"/>
          <w:szCs w:val="28"/>
          <w14:textFill>
            <w14:solidFill>
              <w14:schemeClr w14:val="tx1"/>
            </w14:solidFill>
          </w14:textFill>
        </w:rPr>
        <w:t>人才培养目标定位、重大教学改革方案和人才培养方案的制定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修订，实验实训室建设等</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562" w:firstLineChars="200"/>
        <w:jc w:val="left"/>
        <w:outlineLvl w:val="9"/>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职能部门：</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工作机制</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各系（部）实施二级管理</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建立专业建设和教学质量诊断与改进机制，健全教学质量监控管理制度，完善课堂教学、教学评价、实习实训、毕业设计以及专业调研、人才培养方案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修订</w:t>
      </w:r>
      <w:r>
        <w:rPr>
          <w:rFonts w:hint="eastAsia" w:ascii="仿宋_GB2312" w:hAnsi="仿宋_GB2312" w:eastAsia="仿宋_GB2312" w:cs="仿宋_GB2312"/>
          <w:color w:val="000000" w:themeColor="text1"/>
          <w:sz w:val="28"/>
          <w:szCs w:val="28"/>
          <w14:textFill>
            <w14:solidFill>
              <w14:schemeClr w14:val="tx1"/>
            </w14:solidFill>
          </w14:textFill>
        </w:rPr>
        <w:t>、资源建设等方面质量标准建设，通过教学实施、过程监控、质量评价和持续改进，达成人才培养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目标和</w:t>
      </w:r>
      <w:r>
        <w:rPr>
          <w:rFonts w:hint="eastAsia" w:ascii="仿宋_GB2312" w:hAnsi="仿宋_GB2312" w:eastAsia="仿宋_GB2312" w:cs="仿宋_GB2312"/>
          <w:color w:val="000000" w:themeColor="text1"/>
          <w:sz w:val="28"/>
          <w:szCs w:val="28"/>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完善教学管理机制，加强日常教学组织运行与管理，开展课程建设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工作</w:t>
      </w:r>
      <w:r>
        <w:rPr>
          <w:rFonts w:hint="eastAsia" w:ascii="仿宋_GB2312" w:hAnsi="仿宋_GB2312" w:eastAsia="仿宋_GB2312" w:cs="仿宋_GB2312"/>
          <w:color w:val="000000" w:themeColor="text1"/>
          <w:sz w:val="28"/>
          <w:szCs w:val="28"/>
          <w14:textFill>
            <w14:solidFill>
              <w14:schemeClr w14:val="tx1"/>
            </w14:solidFill>
          </w14:textFill>
        </w:rPr>
        <w:t>，建立健全巡课、听课、评教、评学等制度，定期开展公开课、示范课等教研活动。建立与企业联动的实践教学环节督导制度，严明教学纪律，强化教学组织</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562" w:firstLineChars="200"/>
        <w:jc w:val="left"/>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制度保障</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教学运行及教学管理相关检查制度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每学期开展期中、期末</w:t>
      </w:r>
      <w:r>
        <w:rPr>
          <w:rFonts w:hint="eastAsia" w:ascii="仿宋_GB2312" w:hAnsi="仿宋_GB2312" w:eastAsia="仿宋_GB2312" w:cs="仿宋_GB2312"/>
          <w:color w:val="000000" w:themeColor="text1"/>
          <w:sz w:val="28"/>
          <w:szCs w:val="28"/>
          <w:lang w:eastAsia="zh-CN"/>
          <w14:textFill>
            <w14:solidFill>
              <w14:schemeClr w14:val="tx1"/>
            </w14:solidFill>
          </w14:textFill>
        </w:rPr>
        <w:t>两</w:t>
      </w:r>
      <w:r>
        <w:rPr>
          <w:rFonts w:hint="eastAsia" w:ascii="仿宋_GB2312" w:hAnsi="仿宋_GB2312" w:eastAsia="仿宋_GB2312" w:cs="仿宋_GB2312"/>
          <w:color w:val="000000" w:themeColor="text1"/>
          <w:sz w:val="28"/>
          <w:szCs w:val="28"/>
          <w14:textFill>
            <w14:solidFill>
              <w14:schemeClr w14:val="tx1"/>
            </w14:solidFill>
          </w14:textFill>
        </w:rPr>
        <w:t>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w:t>
      </w:r>
      <w:r>
        <w:rPr>
          <w:rFonts w:hint="eastAsia" w:ascii="仿宋_GB2312" w:hAnsi="仿宋_GB2312" w:eastAsia="仿宋_GB2312" w:cs="仿宋_GB2312"/>
          <w:color w:val="000000" w:themeColor="text1"/>
          <w:sz w:val="28"/>
          <w:szCs w:val="28"/>
          <w14:textFill>
            <w14:solidFill>
              <w14:schemeClr w14:val="tx1"/>
            </w14:solidFill>
          </w14:textFill>
        </w:rPr>
        <w:t>教学检查，教学检查覆盖教师教学的备课、课堂讲授、作业批改、实验实习、辅导答疑、考试、阅卷、试卷分析、毕业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汇报</w:t>
      </w:r>
      <w:r>
        <w:rPr>
          <w:rFonts w:hint="eastAsia" w:ascii="仿宋_GB2312" w:hAnsi="仿宋_GB2312" w:eastAsia="仿宋_GB2312" w:cs="仿宋_GB2312"/>
          <w:color w:val="000000" w:themeColor="text1"/>
          <w:sz w:val="28"/>
          <w:szCs w:val="28"/>
          <w14:textFill>
            <w14:solidFill>
              <w14:schemeClr w14:val="tx1"/>
            </w14:solidFill>
          </w14:textFill>
        </w:rPr>
        <w:t>等教学全过程。</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师资队伍建设制度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所有新教师进校必须符合学校教师准入条件。新进教师上课，应履行试讲手续。制</w:t>
      </w:r>
      <w:r>
        <w:rPr>
          <w:rFonts w:hint="eastAsia" w:ascii="仿宋_GB2312" w:hAnsi="仿宋_GB2312" w:eastAsia="仿宋_GB2312" w:cs="仿宋_GB2312"/>
          <w:color w:val="000000" w:themeColor="text1"/>
          <w:sz w:val="28"/>
          <w:szCs w:val="28"/>
          <w:highlight w:val="none"/>
          <w14:textFill>
            <w14:solidFill>
              <w14:schemeClr w14:val="tx1"/>
            </w14:solidFill>
          </w14:textFill>
        </w:rPr>
        <w:t>定《专业带头人与骨干教师评选办法》《教师培训与培养实施办法》等制度保障</w:t>
      </w:r>
      <w:r>
        <w:rPr>
          <w:rFonts w:hint="eastAsia" w:ascii="仿宋_GB2312" w:hAnsi="仿宋_GB2312" w:eastAsia="仿宋_GB2312" w:cs="仿宋_GB2312"/>
          <w:color w:val="000000" w:themeColor="text1"/>
          <w:sz w:val="28"/>
          <w:szCs w:val="28"/>
          <w14:textFill>
            <w14:solidFill>
              <w14:schemeClr w14:val="tx1"/>
            </w14:solidFill>
          </w14:textFill>
        </w:rPr>
        <w:t>教师队伍建设工作，提高专业教师的整体素质，确保人才培养质量。</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听课制度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听课制度要求从</w:t>
      </w:r>
      <w:r>
        <w:rPr>
          <w:rFonts w:hint="eastAsia" w:ascii="仿宋_GB2312" w:hAnsi="仿宋_GB2312" w:eastAsia="仿宋_GB2312" w:cs="仿宋_GB2312"/>
          <w:color w:val="000000" w:themeColor="text1"/>
          <w:sz w:val="28"/>
          <w:szCs w:val="28"/>
          <w:lang w:eastAsia="zh-CN"/>
          <w14:textFill>
            <w14:solidFill>
              <w14:schemeClr w14:val="tx1"/>
            </w14:solidFill>
          </w14:textFill>
        </w:rPr>
        <w:t>学院</w:t>
      </w:r>
      <w:r>
        <w:rPr>
          <w:rFonts w:hint="eastAsia" w:ascii="仿宋_GB2312" w:hAnsi="仿宋_GB2312" w:eastAsia="仿宋_GB2312" w:cs="仿宋_GB2312"/>
          <w:color w:val="000000" w:themeColor="text1"/>
          <w:sz w:val="28"/>
          <w:szCs w:val="28"/>
          <w14:textFill>
            <w14:solidFill>
              <w14:schemeClr w14:val="tx1"/>
            </w14:solidFill>
          </w14:textFill>
        </w:rPr>
        <w:t>领导至新</w:t>
      </w:r>
      <w:r>
        <w:rPr>
          <w:rFonts w:hint="eastAsia" w:ascii="仿宋_GB2312" w:hAnsi="仿宋_GB2312" w:eastAsia="仿宋_GB2312" w:cs="仿宋_GB2312"/>
          <w:color w:val="000000" w:themeColor="text1"/>
          <w:sz w:val="28"/>
          <w:szCs w:val="28"/>
          <w:lang w:eastAsia="zh-CN"/>
          <w14:textFill>
            <w14:solidFill>
              <w14:schemeClr w14:val="tx1"/>
            </w14:solidFill>
          </w14:textFill>
        </w:rPr>
        <w:t>招聘</w:t>
      </w:r>
      <w:r>
        <w:rPr>
          <w:rFonts w:hint="eastAsia" w:ascii="仿宋_GB2312" w:hAnsi="仿宋_GB2312" w:eastAsia="仿宋_GB2312" w:cs="仿宋_GB2312"/>
          <w:color w:val="000000" w:themeColor="text1"/>
          <w:sz w:val="28"/>
          <w:szCs w:val="28"/>
          <w14:textFill>
            <w14:solidFill>
              <w14:schemeClr w14:val="tx1"/>
            </w14:solidFill>
          </w14:textFill>
        </w:rPr>
        <w:t>教师，每学期必须按要求完成一定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量</w:t>
      </w:r>
      <w:r>
        <w:rPr>
          <w:rFonts w:hint="eastAsia" w:ascii="仿宋_GB2312" w:hAnsi="仿宋_GB2312" w:eastAsia="仿宋_GB2312" w:cs="仿宋_GB2312"/>
          <w:color w:val="000000" w:themeColor="text1"/>
          <w:sz w:val="28"/>
          <w:szCs w:val="28"/>
          <w14:textFill>
            <w14:solidFill>
              <w14:schemeClr w14:val="tx1"/>
            </w14:solidFill>
          </w14:textFill>
        </w:rPr>
        <w:t>的听课工作。</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z w:val="28"/>
          <w:szCs w:val="28"/>
          <w14:textFill>
            <w14:solidFill>
              <w14:schemeClr w14:val="tx1"/>
            </w14:solidFill>
          </w14:textFill>
        </w:rPr>
        <w:t>级领导、系主任及行政部门中层干部深入教学第一线定期听课、督查教学过程，解决教学中存在的问题；老教师听课对新教师起到督导和传帮带作用，新教师通过听课掌握教学的基本技巧，学会如何上好一堂课。</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教师教学质量考核制度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建立教师考核制度，通过学生评教、教师互评、系部评教的形式，对每一位教师的课堂教学工作做出合理的评价。</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毕业生跟踪调查制度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由各系向用人单位了解毕业生在社会的反响，向毕业生了解学校课程体系和教学内容的社会适应性，根据反馈的信息及时调整培养方案和进行教学改革。</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校企合作制度建设</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不断推进校企合作走向深入，与重点合作企业成立“订单班”，共同制定人才培养方案、开发课程、教材等，探索实施人才共育、师资共享、实训条件共建等工作模式</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0"/>
        <w:rPr>
          <w:rFonts w:hint="eastAsia" w:ascii="黑体" w:hAnsi="黑体" w:eastAsia="黑体" w:cs="黑体"/>
          <w:b w:val="0"/>
          <w:bCs/>
          <w:color w:val="000000" w:themeColor="text1"/>
          <w:sz w:val="28"/>
          <w:szCs w:val="28"/>
          <w14:textFill>
            <w14:solidFill>
              <w14:schemeClr w14:val="tx1"/>
            </w14:solidFill>
          </w14:textFill>
        </w:rPr>
      </w:pPr>
      <w:bookmarkStart w:id="48" w:name="_Toc23606"/>
      <w:r>
        <w:rPr>
          <w:rFonts w:hint="eastAsia" w:ascii="黑体" w:hAnsi="黑体" w:eastAsia="黑体" w:cs="黑体"/>
          <w:b w:val="0"/>
          <w:bCs/>
          <w:color w:val="000000" w:themeColor="text1"/>
          <w:sz w:val="28"/>
          <w:szCs w:val="28"/>
          <w:lang w:val="en-US" w:eastAsia="zh-CN"/>
          <w14:textFill>
            <w14:solidFill>
              <w14:schemeClr w14:val="tx1"/>
            </w14:solidFill>
          </w14:textFill>
        </w:rPr>
        <w:t>九、</w:t>
      </w:r>
      <w:r>
        <w:rPr>
          <w:rFonts w:hint="eastAsia" w:ascii="黑体" w:hAnsi="黑体" w:eastAsia="黑体" w:cs="黑体"/>
          <w:b w:val="0"/>
          <w:bCs/>
          <w:color w:val="000000" w:themeColor="text1"/>
          <w:sz w:val="28"/>
          <w:szCs w:val="28"/>
          <w14:textFill>
            <w14:solidFill>
              <w14:schemeClr w14:val="tx1"/>
            </w14:solidFill>
          </w14:textFill>
        </w:rPr>
        <w:t>毕业生要求</w:t>
      </w:r>
      <w:bookmarkEnd w:id="48"/>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top"/>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学生通过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年的学习，要求学生所学的全部课程考试合格，获得通用证书以及行业资格证书，并达到本专业人才培养目标和培养规格的要求。</w:t>
      </w:r>
      <w:bookmarkStart w:id="49" w:name="_Hlk76643124"/>
      <w:r>
        <w:rPr>
          <w:rFonts w:hint="eastAsia" w:ascii="仿宋_GB2312" w:hAnsi="仿宋_GB2312" w:eastAsia="仿宋_GB2312" w:cs="仿宋_GB2312"/>
          <w:color w:val="000000" w:themeColor="text1"/>
          <w:sz w:val="28"/>
          <w:szCs w:val="28"/>
          <w14:textFill>
            <w14:solidFill>
              <w14:schemeClr w14:val="tx1"/>
            </w14:solidFill>
          </w14:textFill>
        </w:rPr>
        <w:t>学生须修满本专业人才培养方案规定的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w:t>
      </w:r>
      <w:r>
        <w:rPr>
          <w:rFonts w:hint="default" w:ascii="仿宋_GB2312" w:hAnsi="仿宋_GB2312" w:eastAsia="仿宋_GB2312" w:cs="仿宋_GB2312"/>
          <w:color w:val="000000" w:themeColor="text1"/>
          <w:sz w:val="28"/>
          <w:szCs w:val="28"/>
          <w:lang w:eastAsia="zh-CN"/>
          <w14:textFill>
            <w14:solidFill>
              <w14:schemeClr w14:val="tx1"/>
            </w14:solidFill>
          </w14:textFill>
        </w:rPr>
        <w:t>42</w:t>
      </w:r>
      <w:r>
        <w:rPr>
          <w:rFonts w:hint="eastAsia" w:ascii="仿宋_GB2312" w:hAnsi="仿宋_GB2312" w:eastAsia="仿宋_GB2312" w:cs="仿宋_GB2312"/>
          <w:color w:val="000000" w:themeColor="text1"/>
          <w:sz w:val="28"/>
          <w:szCs w:val="28"/>
          <w14:textFill>
            <w14:solidFill>
              <w14:schemeClr w14:val="tx1"/>
            </w14:solidFill>
          </w14:textFill>
        </w:rPr>
        <w:t>学时、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148</w:t>
      </w:r>
      <w:r>
        <w:rPr>
          <w:rFonts w:hint="eastAsia" w:ascii="仿宋_GB2312" w:hAnsi="仿宋_GB2312" w:eastAsia="仿宋_GB2312" w:cs="仿宋_GB2312"/>
          <w:color w:val="000000" w:themeColor="text1"/>
          <w:sz w:val="28"/>
          <w:szCs w:val="28"/>
          <w14:textFill>
            <w14:solidFill>
              <w14:schemeClr w14:val="tx1"/>
            </w14:solidFill>
          </w14:textFill>
        </w:rPr>
        <w:t>学分。其中公共基础必修课程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702</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42</w:t>
      </w:r>
      <w:r>
        <w:rPr>
          <w:rFonts w:hint="eastAsia" w:ascii="仿宋_GB2312" w:hAnsi="仿宋_GB2312" w:eastAsia="仿宋_GB2312" w:cs="仿宋_GB2312"/>
          <w:color w:val="000000" w:themeColor="text1"/>
          <w:sz w:val="28"/>
          <w:szCs w:val="28"/>
          <w14:textFill>
            <w14:solidFill>
              <w14:schemeClr w14:val="tx1"/>
            </w14:solidFill>
          </w14:textFill>
        </w:rPr>
        <w:t>学分；专业技能必修课程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default" w:ascii="仿宋_GB2312" w:hAnsi="仿宋_GB2312" w:eastAsia="仿宋_GB2312" w:cs="仿宋_GB2312"/>
          <w:color w:val="000000" w:themeColor="text1"/>
          <w:sz w:val="28"/>
          <w:szCs w:val="28"/>
          <w:lang w:eastAsia="zh-CN"/>
          <w14:textFill>
            <w14:solidFill>
              <w14:schemeClr w14:val="tx1"/>
            </w14:solidFill>
          </w14:textFill>
        </w:rPr>
        <w:t>60</w:t>
      </w:r>
      <w:r>
        <w:rPr>
          <w:rFonts w:hint="eastAsia" w:ascii="仿宋_GB2312" w:hAnsi="仿宋_GB2312" w:eastAsia="仿宋_GB2312" w:cs="仿宋_GB2312"/>
          <w:color w:val="000000" w:themeColor="text1"/>
          <w:sz w:val="28"/>
          <w:szCs w:val="28"/>
          <w14:textFill>
            <w14:solidFill>
              <w14:schemeClr w14:val="tx1"/>
            </w14:solidFill>
          </w14:textFill>
        </w:rPr>
        <w:t>学时、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79</w:t>
      </w:r>
      <w:r>
        <w:rPr>
          <w:rFonts w:hint="eastAsia" w:ascii="仿宋_GB2312" w:hAnsi="仿宋_GB2312" w:eastAsia="仿宋_GB2312" w:cs="仿宋_GB2312"/>
          <w:color w:val="000000" w:themeColor="text1"/>
          <w:sz w:val="28"/>
          <w:szCs w:val="28"/>
          <w14:textFill>
            <w14:solidFill>
              <w14:schemeClr w14:val="tx1"/>
            </w14:solidFill>
          </w14:textFill>
        </w:rPr>
        <w:t>学分；公共基础选修课程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96</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学分；专业技能选修课程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336</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学分。</w:t>
      </w:r>
      <w:bookmarkEnd w:id="49"/>
    </w:p>
    <w:p>
      <w:pPr>
        <w:snapToGrid w:val="0"/>
        <w:contextualSpacing/>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headerReference r:id="rId7" w:type="default"/>
      <w:footerReference r:id="rId8" w:type="default"/>
      <w:pgSz w:w="11906" w:h="16838"/>
      <w:pgMar w:top="993" w:right="1418" w:bottom="1134" w:left="1133" w:header="737" w:footer="595"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3">
    <w:panose1 w:val="050401020108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Variable Text">
    <w:panose1 w:val="00000000000000000000"/>
    <w:charset w:val="00"/>
    <w:family w:val="auto"/>
    <w:pitch w:val="default"/>
    <w:sig w:usb0="A00002FF" w:usb1="0000000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jc w:val="center"/>
    </w:pPr>
  </w:p>
  <w:p>
    <w:pPr>
      <w:pStyle w:val="15"/>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5"/>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700"/>
        <w:tab w:val="right" w:pos="14690"/>
      </w:tabs>
      <w:ind w:firstLine="42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p>
    <w:pPr>
      <w:pStyle w:val="1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r>
      <mc:AlternateContent>
        <mc:Choice Requires="wps">
          <w:drawing>
            <wp:anchor distT="0" distB="0" distL="114300" distR="114300" simplePos="0" relativeHeight="251660288" behindDoc="0" locked="0" layoutInCell="0" allowOverlap="1">
              <wp:simplePos x="0" y="0"/>
              <wp:positionH relativeFrom="page">
                <wp:posOffset>-20955</wp:posOffset>
              </wp:positionH>
              <wp:positionV relativeFrom="page">
                <wp:posOffset>3332480</wp:posOffset>
              </wp:positionV>
              <wp:extent cx="762000" cy="895350"/>
              <wp:effectExtent l="0" t="0" r="0" b="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wps:txbx>
                    <wps:bodyPr rot="0" vert="eaVert" wrap="square" lIns="91440" tIns="45720" rIns="91440" bIns="45720" anchor="t" anchorCtr="0" upright="1">
                      <a:noAutofit/>
                    </wps:bodyPr>
                  </wps:wsp>
                </a:graphicData>
              </a:graphic>
            </wp:anchor>
          </w:drawing>
        </mc:Choice>
        <mc:Fallback>
          <w:pict>
            <v:rect id="矩形 3" o:spid="_x0000_s1026" o:spt="1" style="position:absolute;left:0pt;margin-left:-1.65pt;margin-top:262.4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PXQ4UNsAAAAK&#10;AQAADwAAAGRycy9kb3ducmV2LnhtbE2Py07DMBBF90j8gzVIbFDrJG1DFTLpohKLItSKgtStHQ9J&#10;IB5Hsfvg73FXsBzN0b3nlquL7cWJRt85RkinCQji2pmOG4SP9+fJEoQPio3qHRPCD3lYVbc3pSqM&#10;O/MbnfahETGEfaEQ2hCGQkpft2SVn7qBOP4+3WhViOfYSDOqcwy3vcySJJdWdRwbWjXQuqX6e3+0&#10;CC/rV/212Wbzh+agt7vNwXbaZIj3d2nyBCLQJfzBcNWP6lBFJ+2ObLzoESazWSQRFtk8TrgCaf4I&#10;QiPk+WIJsirl/wnVL1BLAwQUAAAACACHTuJA1rqMDiICAAAyBAAADgAAAGRycy9lMm9Eb2MueG1s&#10;rVPBjtMwEL0j8Q+W7zRtt93uRk1Xq1ZFSAustMDdcZzEIvGYsdukX4PEjY/gcxC/wdjplrJc9kAO&#10;icczfp735mV507cN2yt0GkzGJ6MxZ8pIKLSpMv7xw/bVFWfOC1OIBozK+EE5frN6+WLZ2VRNoYam&#10;UMgIxLi0sxmvvbdpkjhZq1a4EVhlKFkCtsJTiFVSoOgIvW2S6Xh8mXSAhUWQyjna3QxJfkTE5wBC&#10;WWqpNiB3rTJ+QEXVCE+UXK2t46vYbVkq6d+XpVOeNRknpj6+6RJa5+GdrJYirVDYWstjC+I5LTzh&#10;1Apt6NIT1EZ4wXao/4FqtURwUPqRhDYZiERFiMVk/ESbh1pYFbmQ1M6eRHf/D1a+298j00XGF5wZ&#10;0dLAf339/vPHN3YRtOmsS6nkwd5jYOfsHcjPjhlY18JU6hYRulqJgjqahPrkrwMhcHSU5d1bKAha&#10;7DxEmfoS2wBIArA+TuNwmobqPZO0ubgku9CcJKWurucX8zitRKSPhy06/1pBy8Ii40jDjuBif+d8&#10;aEakjyWxeWh0sdVNEwOs8nWDbC/IGNv4xP6J43lZY0KxgXBsQAw7kWUgNgjk+7w/apVDcSC+CIPR&#10;6DejhRKf6MtZRzbLuPuyE6g4a94YUu16MpsFX8ZgNl9MKcDzTH6eEUbWQO4lsGG59oOXdxZ1VdNd&#10;k6iAgVtSutRRhTCFoa9j52SlKM7R9sGr53Gs+vOrr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XQ4UNsAAAAKAQAADwAAAAAAAAABACAAAAAiAAAAZHJzL2Rvd25yZXYueG1sUEsBAhQAFAAAAAgA&#10;h07iQNa6jA4iAgAAMgQAAA4AAAAAAAAAAQAgAAAAKgEAAGRycy9lMm9Eb2MueG1sUEsFBgAAAAAG&#10;AAYAWQEAAL4FAAAAAA==&#10;">
              <v:fill on="t" focussize="0,0"/>
              <v:stroke on="f"/>
              <v:imagedata o:title=""/>
              <o:lock v:ext="edit" aspectratio="f"/>
              <v:textbox style="layout-flow:vertical-ideographic;">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pStyle w:val="10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NDAxNzBhMjUwNGVkMzc3NGMwYWEwNTFiZjI0NmUifQ=="/>
  </w:docVars>
  <w:rsids>
    <w:rsidRoot w:val="00396F2A"/>
    <w:rsid w:val="000055FF"/>
    <w:rsid w:val="00005AAF"/>
    <w:rsid w:val="000078D9"/>
    <w:rsid w:val="00047480"/>
    <w:rsid w:val="00047A66"/>
    <w:rsid w:val="0007792E"/>
    <w:rsid w:val="00077B18"/>
    <w:rsid w:val="000C5D36"/>
    <w:rsid w:val="000F542C"/>
    <w:rsid w:val="000F72E7"/>
    <w:rsid w:val="001117A8"/>
    <w:rsid w:val="0011201C"/>
    <w:rsid w:val="00113D7F"/>
    <w:rsid w:val="001256E3"/>
    <w:rsid w:val="001401B7"/>
    <w:rsid w:val="001802F6"/>
    <w:rsid w:val="001D54D3"/>
    <w:rsid w:val="001F5D4C"/>
    <w:rsid w:val="002075F3"/>
    <w:rsid w:val="002078A9"/>
    <w:rsid w:val="00214E4A"/>
    <w:rsid w:val="00216FF8"/>
    <w:rsid w:val="00221FB9"/>
    <w:rsid w:val="0022406A"/>
    <w:rsid w:val="0025164C"/>
    <w:rsid w:val="0025752D"/>
    <w:rsid w:val="0027150D"/>
    <w:rsid w:val="002A5AA4"/>
    <w:rsid w:val="002B4721"/>
    <w:rsid w:val="002B482E"/>
    <w:rsid w:val="002B5902"/>
    <w:rsid w:val="002D595A"/>
    <w:rsid w:val="002E4C3C"/>
    <w:rsid w:val="002E4F69"/>
    <w:rsid w:val="002F19CB"/>
    <w:rsid w:val="00327A34"/>
    <w:rsid w:val="00345116"/>
    <w:rsid w:val="00351689"/>
    <w:rsid w:val="00370C95"/>
    <w:rsid w:val="00371A6C"/>
    <w:rsid w:val="00384377"/>
    <w:rsid w:val="003875DF"/>
    <w:rsid w:val="00387718"/>
    <w:rsid w:val="00391215"/>
    <w:rsid w:val="00396385"/>
    <w:rsid w:val="00396F2A"/>
    <w:rsid w:val="003B487F"/>
    <w:rsid w:val="003C7B60"/>
    <w:rsid w:val="003E21F2"/>
    <w:rsid w:val="003E6E1E"/>
    <w:rsid w:val="00401558"/>
    <w:rsid w:val="00402400"/>
    <w:rsid w:val="004223C6"/>
    <w:rsid w:val="00450884"/>
    <w:rsid w:val="004523A5"/>
    <w:rsid w:val="0046530D"/>
    <w:rsid w:val="00477537"/>
    <w:rsid w:val="00477EF0"/>
    <w:rsid w:val="004A338A"/>
    <w:rsid w:val="004A4849"/>
    <w:rsid w:val="004C0546"/>
    <w:rsid w:val="004E541C"/>
    <w:rsid w:val="004E6C6B"/>
    <w:rsid w:val="004F3CDA"/>
    <w:rsid w:val="005005FF"/>
    <w:rsid w:val="00502B79"/>
    <w:rsid w:val="0051119A"/>
    <w:rsid w:val="00530CB6"/>
    <w:rsid w:val="005409C2"/>
    <w:rsid w:val="00541959"/>
    <w:rsid w:val="00553A10"/>
    <w:rsid w:val="005639F1"/>
    <w:rsid w:val="005703D9"/>
    <w:rsid w:val="005778B9"/>
    <w:rsid w:val="005B0C12"/>
    <w:rsid w:val="005C7255"/>
    <w:rsid w:val="005D7AD6"/>
    <w:rsid w:val="006138A7"/>
    <w:rsid w:val="006379ED"/>
    <w:rsid w:val="00687BF5"/>
    <w:rsid w:val="006A7A69"/>
    <w:rsid w:val="006F3596"/>
    <w:rsid w:val="006F526C"/>
    <w:rsid w:val="006F7CC9"/>
    <w:rsid w:val="0070401C"/>
    <w:rsid w:val="00714EB3"/>
    <w:rsid w:val="00740C94"/>
    <w:rsid w:val="00756351"/>
    <w:rsid w:val="00782DF5"/>
    <w:rsid w:val="007A227B"/>
    <w:rsid w:val="007A6498"/>
    <w:rsid w:val="007B0929"/>
    <w:rsid w:val="007B1E2F"/>
    <w:rsid w:val="007D2883"/>
    <w:rsid w:val="007E1B22"/>
    <w:rsid w:val="007E2EF7"/>
    <w:rsid w:val="007E6C39"/>
    <w:rsid w:val="0080172C"/>
    <w:rsid w:val="00812401"/>
    <w:rsid w:val="00815D72"/>
    <w:rsid w:val="00823AC8"/>
    <w:rsid w:val="00846678"/>
    <w:rsid w:val="008726FA"/>
    <w:rsid w:val="008737A6"/>
    <w:rsid w:val="008865D4"/>
    <w:rsid w:val="008B5A1C"/>
    <w:rsid w:val="009250AB"/>
    <w:rsid w:val="00930514"/>
    <w:rsid w:val="00932207"/>
    <w:rsid w:val="00933A1A"/>
    <w:rsid w:val="0093725C"/>
    <w:rsid w:val="00943B14"/>
    <w:rsid w:val="00950BD0"/>
    <w:rsid w:val="009519C6"/>
    <w:rsid w:val="009621CD"/>
    <w:rsid w:val="00973685"/>
    <w:rsid w:val="00975B0E"/>
    <w:rsid w:val="00990FB7"/>
    <w:rsid w:val="00991589"/>
    <w:rsid w:val="009A7C34"/>
    <w:rsid w:val="009A7C9A"/>
    <w:rsid w:val="009B4EF4"/>
    <w:rsid w:val="009B69FE"/>
    <w:rsid w:val="009D29A3"/>
    <w:rsid w:val="009F1186"/>
    <w:rsid w:val="00A00F40"/>
    <w:rsid w:val="00A05CC9"/>
    <w:rsid w:val="00A06E1A"/>
    <w:rsid w:val="00A07635"/>
    <w:rsid w:val="00A13A41"/>
    <w:rsid w:val="00A1716A"/>
    <w:rsid w:val="00A20F9F"/>
    <w:rsid w:val="00A210CF"/>
    <w:rsid w:val="00A22DD1"/>
    <w:rsid w:val="00A25422"/>
    <w:rsid w:val="00A25503"/>
    <w:rsid w:val="00A25B2D"/>
    <w:rsid w:val="00A36682"/>
    <w:rsid w:val="00A470D9"/>
    <w:rsid w:val="00A6493A"/>
    <w:rsid w:val="00A66661"/>
    <w:rsid w:val="00A97FEA"/>
    <w:rsid w:val="00AD7A67"/>
    <w:rsid w:val="00AE5234"/>
    <w:rsid w:val="00AF1D8A"/>
    <w:rsid w:val="00AF6C25"/>
    <w:rsid w:val="00B50CD6"/>
    <w:rsid w:val="00B55E8B"/>
    <w:rsid w:val="00B7238C"/>
    <w:rsid w:val="00B96017"/>
    <w:rsid w:val="00BE0D51"/>
    <w:rsid w:val="00BE188E"/>
    <w:rsid w:val="00BF2386"/>
    <w:rsid w:val="00BF3AAE"/>
    <w:rsid w:val="00BF52BD"/>
    <w:rsid w:val="00BF7A87"/>
    <w:rsid w:val="00C00125"/>
    <w:rsid w:val="00C01DB6"/>
    <w:rsid w:val="00C20334"/>
    <w:rsid w:val="00C22AD3"/>
    <w:rsid w:val="00C603FA"/>
    <w:rsid w:val="00C71339"/>
    <w:rsid w:val="00C72132"/>
    <w:rsid w:val="00C77E5C"/>
    <w:rsid w:val="00C92ED0"/>
    <w:rsid w:val="00CA79EC"/>
    <w:rsid w:val="00CC0072"/>
    <w:rsid w:val="00CD02C0"/>
    <w:rsid w:val="00CE48B5"/>
    <w:rsid w:val="00CE51E8"/>
    <w:rsid w:val="00CE62B0"/>
    <w:rsid w:val="00D50ED3"/>
    <w:rsid w:val="00D52022"/>
    <w:rsid w:val="00D614BC"/>
    <w:rsid w:val="00D63058"/>
    <w:rsid w:val="00D70072"/>
    <w:rsid w:val="00D70AE3"/>
    <w:rsid w:val="00D97E58"/>
    <w:rsid w:val="00DA1F42"/>
    <w:rsid w:val="00DD463C"/>
    <w:rsid w:val="00E35BFA"/>
    <w:rsid w:val="00E62BA3"/>
    <w:rsid w:val="00E76834"/>
    <w:rsid w:val="00E80B5F"/>
    <w:rsid w:val="00E83E0D"/>
    <w:rsid w:val="00E87C42"/>
    <w:rsid w:val="00E9288A"/>
    <w:rsid w:val="00E9362E"/>
    <w:rsid w:val="00E93794"/>
    <w:rsid w:val="00EA37BD"/>
    <w:rsid w:val="00EB5602"/>
    <w:rsid w:val="00EC5412"/>
    <w:rsid w:val="00EC7C27"/>
    <w:rsid w:val="00EF079A"/>
    <w:rsid w:val="00F22480"/>
    <w:rsid w:val="00F24A99"/>
    <w:rsid w:val="00F508BE"/>
    <w:rsid w:val="00F804B3"/>
    <w:rsid w:val="00F86244"/>
    <w:rsid w:val="00F8642C"/>
    <w:rsid w:val="00F9056A"/>
    <w:rsid w:val="00FA0F59"/>
    <w:rsid w:val="00FB28E8"/>
    <w:rsid w:val="00FF4D4A"/>
    <w:rsid w:val="00FF66E9"/>
    <w:rsid w:val="01142B87"/>
    <w:rsid w:val="01145609"/>
    <w:rsid w:val="01314F6C"/>
    <w:rsid w:val="013D290D"/>
    <w:rsid w:val="018C519F"/>
    <w:rsid w:val="01AF5332"/>
    <w:rsid w:val="01C02296"/>
    <w:rsid w:val="01E054EB"/>
    <w:rsid w:val="01FA1BA0"/>
    <w:rsid w:val="0261487E"/>
    <w:rsid w:val="0297204E"/>
    <w:rsid w:val="02996215"/>
    <w:rsid w:val="02DB18E3"/>
    <w:rsid w:val="03140887"/>
    <w:rsid w:val="03152B33"/>
    <w:rsid w:val="03644AF7"/>
    <w:rsid w:val="0376282A"/>
    <w:rsid w:val="037A3A25"/>
    <w:rsid w:val="038E7705"/>
    <w:rsid w:val="03B6737C"/>
    <w:rsid w:val="03C5736E"/>
    <w:rsid w:val="03CC3F79"/>
    <w:rsid w:val="04175528"/>
    <w:rsid w:val="04C12814"/>
    <w:rsid w:val="04D171D5"/>
    <w:rsid w:val="050A4C6D"/>
    <w:rsid w:val="055A235A"/>
    <w:rsid w:val="055A4D0C"/>
    <w:rsid w:val="056326BB"/>
    <w:rsid w:val="05926AFC"/>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D4D15B7"/>
    <w:rsid w:val="0D52150D"/>
    <w:rsid w:val="0D8C2DBD"/>
    <w:rsid w:val="0DBE2B84"/>
    <w:rsid w:val="0DF21794"/>
    <w:rsid w:val="0E914E7A"/>
    <w:rsid w:val="0F855734"/>
    <w:rsid w:val="0F8B2F3A"/>
    <w:rsid w:val="102173FB"/>
    <w:rsid w:val="10494BC2"/>
    <w:rsid w:val="105E41AB"/>
    <w:rsid w:val="108828DF"/>
    <w:rsid w:val="10BF7A67"/>
    <w:rsid w:val="11203B56"/>
    <w:rsid w:val="1150529B"/>
    <w:rsid w:val="116C6248"/>
    <w:rsid w:val="119D53EB"/>
    <w:rsid w:val="11AC25BB"/>
    <w:rsid w:val="11C36097"/>
    <w:rsid w:val="11DA48AE"/>
    <w:rsid w:val="11FA76C0"/>
    <w:rsid w:val="12693A8D"/>
    <w:rsid w:val="12AF6F40"/>
    <w:rsid w:val="13315BA7"/>
    <w:rsid w:val="133A5BF2"/>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3932B8"/>
    <w:rsid w:val="15453AD6"/>
    <w:rsid w:val="155D28A9"/>
    <w:rsid w:val="158C6F70"/>
    <w:rsid w:val="159B558D"/>
    <w:rsid w:val="15A72150"/>
    <w:rsid w:val="15D805CA"/>
    <w:rsid w:val="164A3E7E"/>
    <w:rsid w:val="169311EC"/>
    <w:rsid w:val="16A62408"/>
    <w:rsid w:val="16C21F84"/>
    <w:rsid w:val="16CB1E6E"/>
    <w:rsid w:val="16D95557"/>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AD645B"/>
    <w:rsid w:val="1AB71087"/>
    <w:rsid w:val="1ABA0B77"/>
    <w:rsid w:val="1AC87521"/>
    <w:rsid w:val="1ADA154E"/>
    <w:rsid w:val="1AF57C12"/>
    <w:rsid w:val="1B4B17D0"/>
    <w:rsid w:val="1B6823A3"/>
    <w:rsid w:val="1B7900EB"/>
    <w:rsid w:val="1B943177"/>
    <w:rsid w:val="1BC163E6"/>
    <w:rsid w:val="1C4050AC"/>
    <w:rsid w:val="1CB17D58"/>
    <w:rsid w:val="1CBA56B7"/>
    <w:rsid w:val="1CC42ADC"/>
    <w:rsid w:val="1CC7495F"/>
    <w:rsid w:val="1CF21E8B"/>
    <w:rsid w:val="1D232A04"/>
    <w:rsid w:val="1D88524C"/>
    <w:rsid w:val="1DA13929"/>
    <w:rsid w:val="1DAF149F"/>
    <w:rsid w:val="1DB47B00"/>
    <w:rsid w:val="1DE875D6"/>
    <w:rsid w:val="1E122FDE"/>
    <w:rsid w:val="1E2527AC"/>
    <w:rsid w:val="1E2F500A"/>
    <w:rsid w:val="1E8219AC"/>
    <w:rsid w:val="1EF1268E"/>
    <w:rsid w:val="1F175566"/>
    <w:rsid w:val="1F207391"/>
    <w:rsid w:val="1F262635"/>
    <w:rsid w:val="1F8452B0"/>
    <w:rsid w:val="1FCE483F"/>
    <w:rsid w:val="20052895"/>
    <w:rsid w:val="200F66CF"/>
    <w:rsid w:val="205E6666"/>
    <w:rsid w:val="206D40FA"/>
    <w:rsid w:val="212D4530"/>
    <w:rsid w:val="21815F4B"/>
    <w:rsid w:val="21836641"/>
    <w:rsid w:val="21B93937"/>
    <w:rsid w:val="21C85928"/>
    <w:rsid w:val="21D057D0"/>
    <w:rsid w:val="224A458F"/>
    <w:rsid w:val="22902202"/>
    <w:rsid w:val="22937812"/>
    <w:rsid w:val="22A068A5"/>
    <w:rsid w:val="22B0753C"/>
    <w:rsid w:val="230C6782"/>
    <w:rsid w:val="232A616E"/>
    <w:rsid w:val="233A2855"/>
    <w:rsid w:val="24207C9D"/>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9E14678"/>
    <w:rsid w:val="2A227306"/>
    <w:rsid w:val="2A6C52BE"/>
    <w:rsid w:val="2A8757EE"/>
    <w:rsid w:val="2ABC1DA2"/>
    <w:rsid w:val="2B1B11BE"/>
    <w:rsid w:val="2B400C25"/>
    <w:rsid w:val="2B6C5576"/>
    <w:rsid w:val="2B7C0D1D"/>
    <w:rsid w:val="2B8A1EA0"/>
    <w:rsid w:val="2BBD673E"/>
    <w:rsid w:val="2BC929C8"/>
    <w:rsid w:val="2BDA5853"/>
    <w:rsid w:val="2C1A23F3"/>
    <w:rsid w:val="2C534988"/>
    <w:rsid w:val="2C574478"/>
    <w:rsid w:val="2C637441"/>
    <w:rsid w:val="2C6D5A4A"/>
    <w:rsid w:val="2C864D5D"/>
    <w:rsid w:val="2C8E556C"/>
    <w:rsid w:val="2D7743BB"/>
    <w:rsid w:val="2DA52FC1"/>
    <w:rsid w:val="2DDB69E3"/>
    <w:rsid w:val="2DE53D06"/>
    <w:rsid w:val="2DF14458"/>
    <w:rsid w:val="2E4D6B60"/>
    <w:rsid w:val="2EDA6C9B"/>
    <w:rsid w:val="2F05640D"/>
    <w:rsid w:val="2F1228D8"/>
    <w:rsid w:val="2F300FB0"/>
    <w:rsid w:val="2F34568E"/>
    <w:rsid w:val="2F6963FB"/>
    <w:rsid w:val="2F745341"/>
    <w:rsid w:val="2F860BD0"/>
    <w:rsid w:val="2FA6707B"/>
    <w:rsid w:val="2FEB6F66"/>
    <w:rsid w:val="301420D8"/>
    <w:rsid w:val="301958D7"/>
    <w:rsid w:val="30423A40"/>
    <w:rsid w:val="304A7E50"/>
    <w:rsid w:val="306929CC"/>
    <w:rsid w:val="30721482"/>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E638F"/>
    <w:rsid w:val="356F1F1A"/>
    <w:rsid w:val="35A3428A"/>
    <w:rsid w:val="36101C06"/>
    <w:rsid w:val="367774C5"/>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9163F"/>
    <w:rsid w:val="39E364EC"/>
    <w:rsid w:val="3A23270A"/>
    <w:rsid w:val="3AD2116E"/>
    <w:rsid w:val="3AD9074E"/>
    <w:rsid w:val="3AE35129"/>
    <w:rsid w:val="3AF67C8F"/>
    <w:rsid w:val="3B1A3D56"/>
    <w:rsid w:val="3B1F7427"/>
    <w:rsid w:val="3B331C0C"/>
    <w:rsid w:val="3B7C0787"/>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3C69D9"/>
    <w:rsid w:val="428F6AAD"/>
    <w:rsid w:val="42D02225"/>
    <w:rsid w:val="43093888"/>
    <w:rsid w:val="432B0ECD"/>
    <w:rsid w:val="43A37B4B"/>
    <w:rsid w:val="43D16466"/>
    <w:rsid w:val="43DE6767"/>
    <w:rsid w:val="43E57F4E"/>
    <w:rsid w:val="443609BF"/>
    <w:rsid w:val="444641F0"/>
    <w:rsid w:val="445D0F5F"/>
    <w:rsid w:val="4466774F"/>
    <w:rsid w:val="453B1026"/>
    <w:rsid w:val="453E3FCF"/>
    <w:rsid w:val="45BE0C6C"/>
    <w:rsid w:val="45CE1321"/>
    <w:rsid w:val="45D068E6"/>
    <w:rsid w:val="45D23AB3"/>
    <w:rsid w:val="464D5DEC"/>
    <w:rsid w:val="466C77FF"/>
    <w:rsid w:val="46A14816"/>
    <w:rsid w:val="46CF6763"/>
    <w:rsid w:val="46F92643"/>
    <w:rsid w:val="47226FD9"/>
    <w:rsid w:val="4729646B"/>
    <w:rsid w:val="47800598"/>
    <w:rsid w:val="47BE7C84"/>
    <w:rsid w:val="480037BE"/>
    <w:rsid w:val="4803505C"/>
    <w:rsid w:val="48141018"/>
    <w:rsid w:val="48A56114"/>
    <w:rsid w:val="48C02D2F"/>
    <w:rsid w:val="49052769"/>
    <w:rsid w:val="49184025"/>
    <w:rsid w:val="492C3879"/>
    <w:rsid w:val="497950A9"/>
    <w:rsid w:val="49D10191"/>
    <w:rsid w:val="49D14008"/>
    <w:rsid w:val="49EB7B56"/>
    <w:rsid w:val="49F509D5"/>
    <w:rsid w:val="49FF6325"/>
    <w:rsid w:val="4A0560FA"/>
    <w:rsid w:val="4A0E24AB"/>
    <w:rsid w:val="4A5B2F2E"/>
    <w:rsid w:val="4A6E7F39"/>
    <w:rsid w:val="4A940351"/>
    <w:rsid w:val="4ACD51FF"/>
    <w:rsid w:val="4B013AD5"/>
    <w:rsid w:val="4B3E6E12"/>
    <w:rsid w:val="4B4928E8"/>
    <w:rsid w:val="4B4B001E"/>
    <w:rsid w:val="4B6B0F4E"/>
    <w:rsid w:val="4B92472D"/>
    <w:rsid w:val="4B9E330C"/>
    <w:rsid w:val="4BC845F3"/>
    <w:rsid w:val="4C0501E3"/>
    <w:rsid w:val="4C14667C"/>
    <w:rsid w:val="4C2D26A8"/>
    <w:rsid w:val="4C46376A"/>
    <w:rsid w:val="4C8524E4"/>
    <w:rsid w:val="4CC275D0"/>
    <w:rsid w:val="4CE358C0"/>
    <w:rsid w:val="4D355CB8"/>
    <w:rsid w:val="4D4E0B28"/>
    <w:rsid w:val="4D564B0B"/>
    <w:rsid w:val="4E022E2E"/>
    <w:rsid w:val="4E055E45"/>
    <w:rsid w:val="4E384CBD"/>
    <w:rsid w:val="4E4837C9"/>
    <w:rsid w:val="4E9D3807"/>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8F758A"/>
    <w:rsid w:val="51962A9D"/>
    <w:rsid w:val="51A766C5"/>
    <w:rsid w:val="51AC22C1"/>
    <w:rsid w:val="51F77775"/>
    <w:rsid w:val="52086CED"/>
    <w:rsid w:val="52100AA2"/>
    <w:rsid w:val="523A78CD"/>
    <w:rsid w:val="527357F7"/>
    <w:rsid w:val="52742866"/>
    <w:rsid w:val="52AA01DD"/>
    <w:rsid w:val="532760A3"/>
    <w:rsid w:val="533B38FC"/>
    <w:rsid w:val="53582700"/>
    <w:rsid w:val="536955EC"/>
    <w:rsid w:val="53803A05"/>
    <w:rsid w:val="53B975B5"/>
    <w:rsid w:val="53CA3371"/>
    <w:rsid w:val="53D338A0"/>
    <w:rsid w:val="54563EBE"/>
    <w:rsid w:val="54634B07"/>
    <w:rsid w:val="54657E65"/>
    <w:rsid w:val="548357AA"/>
    <w:rsid w:val="54C2712D"/>
    <w:rsid w:val="54CD7B34"/>
    <w:rsid w:val="5516017D"/>
    <w:rsid w:val="551C410B"/>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DE1485"/>
    <w:rsid w:val="59E4760D"/>
    <w:rsid w:val="59F91E1B"/>
    <w:rsid w:val="5A040EEC"/>
    <w:rsid w:val="5A0B40CF"/>
    <w:rsid w:val="5A1A0B70"/>
    <w:rsid w:val="5A1D1FAE"/>
    <w:rsid w:val="5A2A3B3D"/>
    <w:rsid w:val="5A307CED"/>
    <w:rsid w:val="5A5D4984"/>
    <w:rsid w:val="5A727313"/>
    <w:rsid w:val="5A7B6303"/>
    <w:rsid w:val="5ACB6147"/>
    <w:rsid w:val="5AF14E1D"/>
    <w:rsid w:val="5B09645E"/>
    <w:rsid w:val="5B182775"/>
    <w:rsid w:val="5B3B11ED"/>
    <w:rsid w:val="5B637E94"/>
    <w:rsid w:val="5B836FB3"/>
    <w:rsid w:val="5BBE0239"/>
    <w:rsid w:val="5BD448EE"/>
    <w:rsid w:val="5BE24954"/>
    <w:rsid w:val="5BF70B5B"/>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6446FD"/>
    <w:rsid w:val="60820DBC"/>
    <w:rsid w:val="60B3541A"/>
    <w:rsid w:val="610619ED"/>
    <w:rsid w:val="61AE7201"/>
    <w:rsid w:val="61CC5351"/>
    <w:rsid w:val="61E810F3"/>
    <w:rsid w:val="623477B4"/>
    <w:rsid w:val="62406462"/>
    <w:rsid w:val="6267026A"/>
    <w:rsid w:val="627604AD"/>
    <w:rsid w:val="62AC69A0"/>
    <w:rsid w:val="62DA4EE0"/>
    <w:rsid w:val="62E0001C"/>
    <w:rsid w:val="63844E4C"/>
    <w:rsid w:val="63B44D9E"/>
    <w:rsid w:val="63C746CA"/>
    <w:rsid w:val="63D04815"/>
    <w:rsid w:val="64054A5C"/>
    <w:rsid w:val="641D31F4"/>
    <w:rsid w:val="642A07E0"/>
    <w:rsid w:val="646F0031"/>
    <w:rsid w:val="64807FB8"/>
    <w:rsid w:val="648C220A"/>
    <w:rsid w:val="64D63189"/>
    <w:rsid w:val="65414DC6"/>
    <w:rsid w:val="65754B0E"/>
    <w:rsid w:val="65B66FA0"/>
    <w:rsid w:val="66715776"/>
    <w:rsid w:val="6692564A"/>
    <w:rsid w:val="66C64415"/>
    <w:rsid w:val="66D55C14"/>
    <w:rsid w:val="67093A50"/>
    <w:rsid w:val="677E641A"/>
    <w:rsid w:val="67BA61E8"/>
    <w:rsid w:val="68DD74D8"/>
    <w:rsid w:val="68E02B24"/>
    <w:rsid w:val="690B47D0"/>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734E33"/>
    <w:rsid w:val="6DBC33D5"/>
    <w:rsid w:val="6DFA3716"/>
    <w:rsid w:val="6E292877"/>
    <w:rsid w:val="6E49116B"/>
    <w:rsid w:val="6E775502"/>
    <w:rsid w:val="6EAB4343"/>
    <w:rsid w:val="6EB32A89"/>
    <w:rsid w:val="6EF14F0E"/>
    <w:rsid w:val="6F666589"/>
    <w:rsid w:val="6F6D70DC"/>
    <w:rsid w:val="6F765F90"/>
    <w:rsid w:val="6F782FE2"/>
    <w:rsid w:val="7066064A"/>
    <w:rsid w:val="70BA4782"/>
    <w:rsid w:val="70EF2565"/>
    <w:rsid w:val="714C5B72"/>
    <w:rsid w:val="71551BD5"/>
    <w:rsid w:val="71D86ACE"/>
    <w:rsid w:val="71E967C5"/>
    <w:rsid w:val="72006795"/>
    <w:rsid w:val="722933A0"/>
    <w:rsid w:val="722C13C8"/>
    <w:rsid w:val="72B37C4E"/>
    <w:rsid w:val="72C40DC1"/>
    <w:rsid w:val="72C82BBF"/>
    <w:rsid w:val="72CD7C81"/>
    <w:rsid w:val="72F316A6"/>
    <w:rsid w:val="733817AF"/>
    <w:rsid w:val="73412411"/>
    <w:rsid w:val="738E5ACB"/>
    <w:rsid w:val="73AF626D"/>
    <w:rsid w:val="73B76B77"/>
    <w:rsid w:val="73E11097"/>
    <w:rsid w:val="740379EB"/>
    <w:rsid w:val="74346277"/>
    <w:rsid w:val="74827185"/>
    <w:rsid w:val="74A06B51"/>
    <w:rsid w:val="74B55DA6"/>
    <w:rsid w:val="74E221F2"/>
    <w:rsid w:val="74FF07D6"/>
    <w:rsid w:val="750C6A4F"/>
    <w:rsid w:val="754500BC"/>
    <w:rsid w:val="75543C54"/>
    <w:rsid w:val="75556648"/>
    <w:rsid w:val="75877A89"/>
    <w:rsid w:val="75A137EC"/>
    <w:rsid w:val="760065B4"/>
    <w:rsid w:val="765406AD"/>
    <w:rsid w:val="76B0506B"/>
    <w:rsid w:val="76B259BC"/>
    <w:rsid w:val="76B4739E"/>
    <w:rsid w:val="76BF5F6B"/>
    <w:rsid w:val="779A6704"/>
    <w:rsid w:val="77A513AC"/>
    <w:rsid w:val="78351721"/>
    <w:rsid w:val="78413CD2"/>
    <w:rsid w:val="78981048"/>
    <w:rsid w:val="789B6166"/>
    <w:rsid w:val="78B277D5"/>
    <w:rsid w:val="78E454B3"/>
    <w:rsid w:val="795310F0"/>
    <w:rsid w:val="797D7F1B"/>
    <w:rsid w:val="797F7F69"/>
    <w:rsid w:val="79CC5566"/>
    <w:rsid w:val="79D02741"/>
    <w:rsid w:val="7A286EF1"/>
    <w:rsid w:val="7A5C5097"/>
    <w:rsid w:val="7A9C0875"/>
    <w:rsid w:val="7B036D36"/>
    <w:rsid w:val="7B055850"/>
    <w:rsid w:val="7B7274CC"/>
    <w:rsid w:val="7B811F45"/>
    <w:rsid w:val="7C1D1629"/>
    <w:rsid w:val="7C4E45AF"/>
    <w:rsid w:val="7CEB7345"/>
    <w:rsid w:val="7CED360A"/>
    <w:rsid w:val="7CFC24CC"/>
    <w:rsid w:val="7D463CC5"/>
    <w:rsid w:val="7D627C28"/>
    <w:rsid w:val="7D686C61"/>
    <w:rsid w:val="7D93164C"/>
    <w:rsid w:val="7DAA071D"/>
    <w:rsid w:val="7DBD4D8A"/>
    <w:rsid w:val="7DCB394B"/>
    <w:rsid w:val="7E010EF3"/>
    <w:rsid w:val="7E1E7DBE"/>
    <w:rsid w:val="7E2B2E0C"/>
    <w:rsid w:val="7E5020A2"/>
    <w:rsid w:val="7E6E1B16"/>
    <w:rsid w:val="7F703B31"/>
    <w:rsid w:val="7F7A3141"/>
    <w:rsid w:val="7FB14DC3"/>
    <w:rsid w:val="7FBF4FBD"/>
    <w:rsid w:val="7FD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0"/>
    <w:pPr>
      <w:widowControl/>
      <w:spacing w:before="100" w:beforeAutospacing="1" w:after="100" w:afterAutospacing="1"/>
      <w:jc w:val="left"/>
      <w:outlineLvl w:val="1"/>
    </w:pPr>
    <w:rPr>
      <w:rFonts w:ascii="宋体" w:hAnsi="宋体" w:eastAsia="宋体" w:cs="宋体"/>
      <w:b/>
      <w:bCs/>
      <w:sz w:val="36"/>
      <w:szCs w:val="36"/>
    </w:rPr>
  </w:style>
  <w:style w:type="paragraph" w:styleId="4">
    <w:name w:val="heading 3"/>
    <w:basedOn w:val="1"/>
    <w:next w:val="1"/>
    <w:link w:val="39"/>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0"/>
    <w:pPr>
      <w:ind w:left="2520" w:leftChars="1200"/>
    </w:pPr>
  </w:style>
  <w:style w:type="paragraph" w:styleId="6">
    <w:name w:val="table of authorities"/>
    <w:basedOn w:val="1"/>
    <w:next w:val="1"/>
    <w:qFormat/>
    <w:uiPriority w:val="0"/>
    <w:pPr>
      <w:ind w:left="420" w:leftChars="200"/>
    </w:pPr>
    <w:rPr>
      <w:rFonts w:ascii="Times New Roman" w:hAnsi="Times New Roman" w:eastAsia="宋体" w:cs="Times New Roman"/>
      <w:szCs w:val="24"/>
    </w:rPr>
  </w:style>
  <w:style w:type="paragraph" w:styleId="7">
    <w:name w:val="annotation text"/>
    <w:basedOn w:val="1"/>
    <w:link w:val="57"/>
    <w:qFormat/>
    <w:uiPriority w:val="0"/>
    <w:pPr>
      <w:jc w:val="left"/>
    </w:pPr>
    <w:rPr>
      <w:szCs w:val="24"/>
    </w:rPr>
  </w:style>
  <w:style w:type="paragraph" w:styleId="8">
    <w:name w:val="Body Text"/>
    <w:basedOn w:val="1"/>
    <w:link w:val="64"/>
    <w:qFormat/>
    <w:uiPriority w:val="0"/>
    <w:pPr>
      <w:ind w:left="101"/>
    </w:pPr>
    <w:rPr>
      <w:rFonts w:ascii="宋体" w:hAnsi="宋体" w:eastAsia="宋体" w:cs="Times New Roman"/>
      <w:sz w:val="28"/>
      <w:szCs w:val="28"/>
    </w:rPr>
  </w:style>
  <w:style w:type="paragraph" w:styleId="9">
    <w:name w:val="Body Text Indent"/>
    <w:basedOn w:val="1"/>
    <w:link w:val="45"/>
    <w:qFormat/>
    <w:uiPriority w:val="0"/>
    <w:pPr>
      <w:ind w:left="720"/>
    </w:pPr>
    <w:rPr>
      <w:rFonts w:eastAsia="宋体"/>
      <w:szCs w:val="24"/>
    </w:rPr>
  </w:style>
  <w:style w:type="paragraph" w:styleId="10">
    <w:name w:val="toc 5"/>
    <w:basedOn w:val="1"/>
    <w:next w:val="1"/>
    <w:unhideWhenUsed/>
    <w:qFormat/>
    <w:uiPriority w:val="0"/>
    <w:pPr>
      <w:ind w:left="1680" w:leftChars="800"/>
    </w:pPr>
  </w:style>
  <w:style w:type="paragraph" w:styleId="11">
    <w:name w:val="toc 3"/>
    <w:basedOn w:val="1"/>
    <w:next w:val="1"/>
    <w:unhideWhenUsed/>
    <w:qFormat/>
    <w:uiPriority w:val="0"/>
    <w:pPr>
      <w:ind w:left="840" w:leftChars="400"/>
    </w:pPr>
  </w:style>
  <w:style w:type="paragraph" w:styleId="12">
    <w:name w:val="Plain Text"/>
    <w:basedOn w:val="1"/>
    <w:link w:val="47"/>
    <w:qFormat/>
    <w:uiPriority w:val="0"/>
    <w:rPr>
      <w:rFonts w:ascii="宋体" w:hAnsi="Courier New" w:eastAsia="宋体"/>
      <w:szCs w:val="21"/>
    </w:rPr>
  </w:style>
  <w:style w:type="paragraph" w:styleId="13">
    <w:name w:val="toc 8"/>
    <w:basedOn w:val="1"/>
    <w:next w:val="1"/>
    <w:unhideWhenUsed/>
    <w:qFormat/>
    <w:uiPriority w:val="0"/>
    <w:pPr>
      <w:ind w:left="2940" w:leftChars="1400"/>
    </w:pPr>
  </w:style>
  <w:style w:type="paragraph" w:styleId="14">
    <w:name w:val="Balloon Text"/>
    <w:basedOn w:val="1"/>
    <w:link w:val="50"/>
    <w:qFormat/>
    <w:uiPriority w:val="0"/>
    <w:rPr>
      <w:rFonts w:eastAsia="宋体"/>
      <w:sz w:val="18"/>
      <w:szCs w:val="18"/>
    </w:rPr>
  </w:style>
  <w:style w:type="paragraph" w:styleId="15">
    <w:name w:val="footer"/>
    <w:basedOn w:val="1"/>
    <w:link w:val="46"/>
    <w:qFormat/>
    <w:uiPriority w:val="0"/>
    <w:pPr>
      <w:tabs>
        <w:tab w:val="center" w:pos="4153"/>
        <w:tab w:val="right" w:pos="8306"/>
      </w:tabs>
      <w:snapToGrid w:val="0"/>
      <w:jc w:val="left"/>
    </w:pPr>
    <w:rPr>
      <w:rFonts w:eastAsia="宋体"/>
      <w:sz w:val="18"/>
      <w:szCs w:val="18"/>
    </w:rPr>
  </w:style>
  <w:style w:type="paragraph" w:styleId="16">
    <w:name w:val="header"/>
    <w:basedOn w:val="1"/>
    <w:link w:val="59"/>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7">
    <w:name w:val="toc 1"/>
    <w:basedOn w:val="1"/>
    <w:next w:val="1"/>
    <w:qFormat/>
    <w:uiPriority w:val="39"/>
    <w:rPr>
      <w:rFonts w:ascii="Times New Roman" w:hAnsi="Times New Roman" w:eastAsia="宋体" w:cs="Times New Roman"/>
      <w:szCs w:val="24"/>
    </w:rPr>
  </w:style>
  <w:style w:type="paragraph" w:styleId="18">
    <w:name w:val="toc 4"/>
    <w:basedOn w:val="1"/>
    <w:next w:val="1"/>
    <w:unhideWhenUsed/>
    <w:qFormat/>
    <w:uiPriority w:val="0"/>
    <w:pPr>
      <w:ind w:left="1260" w:leftChars="600"/>
    </w:pPr>
  </w:style>
  <w:style w:type="paragraph" w:styleId="19">
    <w:name w:val="Subtitle"/>
    <w:basedOn w:val="1"/>
    <w:next w:val="1"/>
    <w:link w:val="10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0">
    <w:name w:val="toc 6"/>
    <w:basedOn w:val="1"/>
    <w:next w:val="1"/>
    <w:unhideWhenUsed/>
    <w:qFormat/>
    <w:uiPriority w:val="0"/>
    <w:pPr>
      <w:ind w:left="2100" w:leftChars="1000"/>
    </w:pPr>
  </w:style>
  <w:style w:type="paragraph" w:styleId="21">
    <w:name w:val="toc 2"/>
    <w:basedOn w:val="1"/>
    <w:next w:val="1"/>
    <w:qFormat/>
    <w:uiPriority w:val="0"/>
    <w:pPr>
      <w:ind w:left="420" w:leftChars="200"/>
    </w:pPr>
    <w:rPr>
      <w:rFonts w:ascii="Times New Roman" w:hAnsi="Times New Roman" w:eastAsia="宋体" w:cs="Times New Roman"/>
      <w:szCs w:val="24"/>
    </w:rPr>
  </w:style>
  <w:style w:type="paragraph" w:styleId="22">
    <w:name w:val="toc 9"/>
    <w:basedOn w:val="1"/>
    <w:next w:val="1"/>
    <w:unhideWhenUsed/>
    <w:qFormat/>
    <w:uiPriority w:val="0"/>
    <w:pPr>
      <w:ind w:left="3360" w:leftChars="1600"/>
    </w:pPr>
  </w:style>
  <w:style w:type="paragraph" w:styleId="23">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hAnsi="Wingdings 3" w:eastAsia="Wingdings 3" w:cs="Times New Roman"/>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58"/>
    <w:qFormat/>
    <w:uiPriority w:val="0"/>
    <w:pPr>
      <w:spacing w:before="240" w:after="60"/>
      <w:jc w:val="center"/>
      <w:outlineLvl w:val="0"/>
    </w:pPr>
    <w:rPr>
      <w:rFonts w:ascii="Cambria" w:hAnsi="Cambria" w:eastAsia="宋体"/>
      <w:b/>
      <w:bCs/>
      <w:sz w:val="32"/>
      <w:szCs w:val="32"/>
    </w:rPr>
  </w:style>
  <w:style w:type="paragraph" w:styleId="26">
    <w:name w:val="annotation subject"/>
    <w:basedOn w:val="7"/>
    <w:next w:val="7"/>
    <w:link w:val="77"/>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basedOn w:val="29"/>
    <w:qFormat/>
    <w:uiPriority w:val="0"/>
    <w:rPr>
      <w:i/>
    </w:rPr>
  </w:style>
  <w:style w:type="character" w:styleId="32">
    <w:name w:val="Hyperlink"/>
    <w:qFormat/>
    <w:uiPriority w:val="99"/>
    <w:rPr>
      <w:color w:val="0063C8"/>
      <w:u w:val="none"/>
    </w:rPr>
  </w:style>
  <w:style w:type="character" w:styleId="33">
    <w:name w:val="annotation reference"/>
    <w:qFormat/>
    <w:uiPriority w:val="0"/>
    <w:rPr>
      <w:sz w:val="21"/>
      <w:szCs w:val="21"/>
    </w:rPr>
  </w:style>
  <w:style w:type="paragraph" w:customStyle="1" w:styleId="34">
    <w:name w:val="样式1"/>
    <w:basedOn w:val="35"/>
    <w:link w:val="121"/>
    <w:qFormat/>
    <w:uiPriority w:val="0"/>
    <w:pPr>
      <w:tabs>
        <w:tab w:val="left" w:pos="993"/>
        <w:tab w:val="left" w:pos="1620"/>
      </w:tabs>
      <w:jc w:val="right"/>
    </w:pPr>
    <w:rPr>
      <w:b w:val="0"/>
      <w:sz w:val="21"/>
    </w:rPr>
  </w:style>
  <w:style w:type="paragraph" w:customStyle="1" w:styleId="35">
    <w:name w:val="章节标题"/>
    <w:basedOn w:val="1"/>
    <w:link w:val="81"/>
    <w:qFormat/>
    <w:uiPriority w:val="0"/>
    <w:pPr>
      <w:tabs>
        <w:tab w:val="left" w:pos="993"/>
        <w:tab w:val="left" w:pos="1620"/>
      </w:tabs>
      <w:snapToGrid w:val="0"/>
      <w:spacing w:line="360" w:lineRule="auto"/>
      <w:ind w:left="284" w:hanging="284" w:hangingChars="101"/>
      <w:jc w:val="left"/>
      <w:outlineLvl w:val="0"/>
    </w:pPr>
    <w:rPr>
      <w:rFonts w:ascii="宋体" w:hAnsi="宋体" w:eastAsia="宋体" w:cs="宋体"/>
      <w:b/>
      <w:color w:val="000000"/>
      <w:sz w:val="28"/>
      <w:szCs w:val="28"/>
    </w:rPr>
  </w:style>
  <w:style w:type="table" w:customStyle="1" w:styleId="36">
    <w:name w:val="中等深浅网格 21"/>
    <w:basedOn w:val="27"/>
    <w:qFormat/>
    <w:uiPriority w:val="0"/>
    <w:rPr>
      <w:rFonts w:ascii="Calibri" w:hAnsi="Calibri"/>
      <w:sz w:val="22"/>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rPr>
      <w:tcPr>
        <w:shd w:val="clear" w:color="auto" w:fill="E5E5E5" w:themeFill="text1" w:themeFillTint="19"/>
      </w:tcPr>
    </w:tblStylePr>
    <w:tblStylePr w:type="lastRow">
      <w:rPr>
        <w:b/>
        <w:bCs/>
        <w:color w:val="000000"/>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cPr>
        <w:tcBorders>
          <w:top w:val="nil"/>
          <w:left w:val="nil"/>
          <w:bottom w:val="nil"/>
          <w:right w:val="nil"/>
          <w:insideH w:val="nil"/>
          <w:insideV w:val="nil"/>
        </w:tcBorders>
        <w:shd w:val="clear" w:color="auto" w:fill="FFFFFF" w:themeFill="background1"/>
      </w:tcPr>
    </w:tblStylePr>
    <w:tblStylePr w:type="lastCol">
      <w:rPr>
        <w:b w:val="0"/>
        <w:bCs w:val="0"/>
        <w:color w:val="000000"/>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character" w:customStyle="1" w:styleId="37">
    <w:name w:val="标题 1 字符1"/>
    <w:basedOn w:val="29"/>
    <w:link w:val="2"/>
    <w:qFormat/>
    <w:uiPriority w:val="0"/>
    <w:rPr>
      <w:rFonts w:ascii="Times New Roman" w:hAnsi="Times New Roman" w:eastAsia="宋体" w:cs="Times New Roman"/>
      <w:b/>
      <w:bCs/>
      <w:kern w:val="44"/>
      <w:sz w:val="44"/>
      <w:szCs w:val="44"/>
    </w:rPr>
  </w:style>
  <w:style w:type="character" w:customStyle="1" w:styleId="38">
    <w:name w:val="标题 2 字符1"/>
    <w:basedOn w:val="29"/>
    <w:link w:val="3"/>
    <w:qFormat/>
    <w:uiPriority w:val="0"/>
    <w:rPr>
      <w:rFonts w:ascii="宋体" w:hAnsi="宋体" w:eastAsia="宋体" w:cs="宋体"/>
      <w:b/>
      <w:bCs/>
      <w:sz w:val="36"/>
      <w:szCs w:val="36"/>
    </w:rPr>
  </w:style>
  <w:style w:type="character" w:customStyle="1" w:styleId="39">
    <w:name w:val="标题 3 字符"/>
    <w:basedOn w:val="29"/>
    <w:link w:val="4"/>
    <w:qFormat/>
    <w:uiPriority w:val="0"/>
    <w:rPr>
      <w:rFonts w:ascii="Times New Roman" w:hAnsi="Times New Roman" w:eastAsia="宋体" w:cs="Times New Roman"/>
      <w:b/>
      <w:sz w:val="32"/>
      <w:szCs w:val="24"/>
    </w:rPr>
  </w:style>
  <w:style w:type="character" w:customStyle="1" w:styleId="40">
    <w:name w:val="apple-style-span"/>
    <w:basedOn w:val="29"/>
    <w:qFormat/>
    <w:uiPriority w:val="0"/>
  </w:style>
  <w:style w:type="character" w:customStyle="1" w:styleId="41">
    <w:name w:val="font51"/>
    <w:qFormat/>
    <w:uiPriority w:val="0"/>
    <w:rPr>
      <w:rFonts w:hint="eastAsia" w:ascii="宋体" w:hAnsi="宋体" w:eastAsia="宋体" w:cs="宋体"/>
      <w:color w:val="000000"/>
      <w:sz w:val="21"/>
      <w:szCs w:val="21"/>
      <w:u w:val="none"/>
    </w:rPr>
  </w:style>
  <w:style w:type="character" w:customStyle="1" w:styleId="42">
    <w:name w:val="标题1 Char Char"/>
    <w:link w:val="43"/>
    <w:qFormat/>
    <w:uiPriority w:val="0"/>
    <w:rPr>
      <w:rFonts w:eastAsia="宋体"/>
      <w:b/>
      <w:color w:val="000000"/>
      <w:sz w:val="24"/>
      <w:u w:color="000000"/>
    </w:rPr>
  </w:style>
  <w:style w:type="paragraph" w:customStyle="1" w:styleId="43">
    <w:name w:val="标题1"/>
    <w:basedOn w:val="6"/>
    <w:link w:val="42"/>
    <w:qFormat/>
    <w:uiPriority w:val="0"/>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44">
    <w:name w:val="Char Char6"/>
    <w:qFormat/>
    <w:uiPriority w:val="0"/>
    <w:rPr>
      <w:rFonts w:ascii="Cambria" w:hAnsi="Cambria" w:eastAsia="宋体"/>
      <w:b/>
      <w:bCs/>
      <w:kern w:val="2"/>
      <w:sz w:val="32"/>
      <w:szCs w:val="32"/>
      <w:lang w:bidi="ar-SA"/>
    </w:rPr>
  </w:style>
  <w:style w:type="character" w:customStyle="1" w:styleId="45">
    <w:name w:val="正文文本缩进 字符1"/>
    <w:link w:val="9"/>
    <w:qFormat/>
    <w:uiPriority w:val="0"/>
    <w:rPr>
      <w:rFonts w:eastAsia="宋体"/>
      <w:szCs w:val="24"/>
    </w:rPr>
  </w:style>
  <w:style w:type="character" w:customStyle="1" w:styleId="46">
    <w:name w:val="页脚 字符1"/>
    <w:link w:val="15"/>
    <w:qFormat/>
    <w:uiPriority w:val="0"/>
    <w:rPr>
      <w:rFonts w:eastAsia="宋体"/>
      <w:sz w:val="18"/>
      <w:szCs w:val="18"/>
    </w:rPr>
  </w:style>
  <w:style w:type="character" w:customStyle="1" w:styleId="47">
    <w:name w:val="纯文本 字符1"/>
    <w:link w:val="12"/>
    <w:qFormat/>
    <w:uiPriority w:val="0"/>
    <w:rPr>
      <w:rFonts w:ascii="宋体" w:hAnsi="Courier New" w:eastAsia="宋体"/>
      <w:szCs w:val="21"/>
    </w:rPr>
  </w:style>
  <w:style w:type="character" w:customStyle="1" w:styleId="48">
    <w:name w:val="正文 + 宋体 Char Char"/>
    <w:link w:val="49"/>
    <w:qFormat/>
    <w:uiPriority w:val="0"/>
    <w:rPr>
      <w:rFonts w:ascii="宋体" w:hAnsi="宋体" w:eastAsia="宋体"/>
      <w:szCs w:val="21"/>
    </w:rPr>
  </w:style>
  <w:style w:type="paragraph" w:customStyle="1" w:styleId="49">
    <w:name w:val="正文 + 宋体"/>
    <w:basedOn w:val="1"/>
    <w:link w:val="48"/>
    <w:qFormat/>
    <w:uiPriority w:val="0"/>
    <w:pPr>
      <w:snapToGrid w:val="0"/>
      <w:ind w:firstLine="420" w:firstLineChars="200"/>
    </w:pPr>
    <w:rPr>
      <w:rFonts w:ascii="宋体" w:hAnsi="宋体" w:eastAsia="宋体"/>
      <w:szCs w:val="21"/>
    </w:rPr>
  </w:style>
  <w:style w:type="character" w:customStyle="1" w:styleId="50">
    <w:name w:val="批注框文本 字符1"/>
    <w:link w:val="14"/>
    <w:qFormat/>
    <w:uiPriority w:val="0"/>
    <w:rPr>
      <w:rFonts w:eastAsia="宋体"/>
      <w:sz w:val="18"/>
      <w:szCs w:val="18"/>
    </w:rPr>
  </w:style>
  <w:style w:type="character" w:customStyle="1" w:styleId="51">
    <w:name w:val="font21"/>
    <w:qFormat/>
    <w:uiPriority w:val="0"/>
    <w:rPr>
      <w:rFonts w:hint="eastAsia" w:ascii="宋体" w:hAnsi="宋体" w:eastAsia="宋体" w:cs="宋体"/>
      <w:color w:val="FF0000"/>
      <w:sz w:val="21"/>
      <w:szCs w:val="21"/>
      <w:u w:val="none"/>
    </w:rPr>
  </w:style>
  <w:style w:type="character" w:customStyle="1" w:styleId="52">
    <w:name w:val="font11"/>
    <w:qFormat/>
    <w:uiPriority w:val="0"/>
    <w:rPr>
      <w:rFonts w:hint="eastAsia" w:ascii="宋体" w:hAnsi="宋体" w:eastAsia="宋体" w:cs="宋体"/>
      <w:color w:val="000000"/>
      <w:sz w:val="21"/>
      <w:szCs w:val="21"/>
      <w:u w:val="none"/>
    </w:rPr>
  </w:style>
  <w:style w:type="character" w:customStyle="1" w:styleId="53">
    <w:name w:val="font31"/>
    <w:qFormat/>
    <w:uiPriority w:val="0"/>
    <w:rPr>
      <w:rFonts w:hint="eastAsia" w:ascii="宋体" w:hAnsi="宋体" w:eastAsia="宋体" w:cs="宋体"/>
      <w:color w:val="000000"/>
      <w:sz w:val="21"/>
      <w:szCs w:val="21"/>
      <w:u w:val="none"/>
    </w:rPr>
  </w:style>
  <w:style w:type="character" w:customStyle="1" w:styleId="54">
    <w:name w:val="大纲正文 Char Char"/>
    <w:link w:val="55"/>
    <w:qFormat/>
    <w:uiPriority w:val="0"/>
    <w:rPr>
      <w:rFonts w:eastAsia="宋体"/>
      <w:color w:val="000000"/>
      <w:u w:color="000000"/>
    </w:rPr>
  </w:style>
  <w:style w:type="paragraph" w:customStyle="1" w:styleId="55">
    <w:name w:val="大纲正文"/>
    <w:basedOn w:val="1"/>
    <w:link w:val="54"/>
    <w:qFormat/>
    <w:uiPriority w:val="0"/>
    <w:pPr>
      <w:snapToGrid w:val="0"/>
      <w:ind w:firstLine="200" w:firstLineChars="200"/>
      <w:textAlignment w:val="baseline"/>
    </w:pPr>
    <w:rPr>
      <w:rFonts w:eastAsia="宋体"/>
      <w:color w:val="000000"/>
      <w:u w:color="000000"/>
    </w:rPr>
  </w:style>
  <w:style w:type="character" w:customStyle="1" w:styleId="56">
    <w:name w:val="中等深浅网格 2 Char"/>
    <w:qFormat/>
    <w:uiPriority w:val="0"/>
    <w:rPr>
      <w:rFonts w:ascii="Calibri" w:hAnsi="Calibri"/>
      <w:sz w:val="22"/>
      <w:szCs w:val="22"/>
      <w:lang w:val="en-US" w:eastAsia="zh-CN" w:bidi="ar-SA"/>
    </w:rPr>
  </w:style>
  <w:style w:type="character" w:customStyle="1" w:styleId="57">
    <w:name w:val="批注文字 字符1"/>
    <w:link w:val="7"/>
    <w:qFormat/>
    <w:uiPriority w:val="0"/>
    <w:rPr>
      <w:szCs w:val="24"/>
    </w:rPr>
  </w:style>
  <w:style w:type="character" w:customStyle="1" w:styleId="58">
    <w:name w:val="标题 字符1"/>
    <w:link w:val="25"/>
    <w:qFormat/>
    <w:uiPriority w:val="0"/>
    <w:rPr>
      <w:rFonts w:ascii="Cambria" w:hAnsi="Cambria" w:eastAsia="宋体"/>
      <w:b/>
      <w:bCs/>
      <w:sz w:val="32"/>
      <w:szCs w:val="32"/>
    </w:rPr>
  </w:style>
  <w:style w:type="character" w:customStyle="1" w:styleId="59">
    <w:name w:val="页眉 字符1"/>
    <w:link w:val="16"/>
    <w:qFormat/>
    <w:uiPriority w:val="0"/>
    <w:rPr>
      <w:rFonts w:eastAsia="宋体"/>
      <w:sz w:val="18"/>
      <w:szCs w:val="18"/>
    </w:rPr>
  </w:style>
  <w:style w:type="character" w:customStyle="1" w:styleId="60">
    <w:name w:val="font01"/>
    <w:qFormat/>
    <w:uiPriority w:val="0"/>
    <w:rPr>
      <w:rFonts w:hint="default" w:ascii="Times New Roman" w:hAnsi="Times New Roman" w:cs="Times New Roman"/>
      <w:color w:val="FF0000"/>
      <w:sz w:val="21"/>
      <w:szCs w:val="21"/>
      <w:u w:val="none"/>
    </w:rPr>
  </w:style>
  <w:style w:type="paragraph" w:customStyle="1" w:styleId="61">
    <w:name w:val="Table Paragraph"/>
    <w:basedOn w:val="1"/>
    <w:qFormat/>
    <w:uiPriority w:val="1"/>
    <w:rPr>
      <w:rFonts w:ascii="Times New Roman" w:hAnsi="Times New Roman" w:eastAsia="宋体" w:cs="Times New Roman"/>
      <w:szCs w:val="24"/>
    </w:rPr>
  </w:style>
  <w:style w:type="character" w:customStyle="1" w:styleId="62">
    <w:name w:val="HTML 预设格式 字符"/>
    <w:basedOn w:val="29"/>
    <w:link w:val="23"/>
    <w:qFormat/>
    <w:uiPriority w:val="99"/>
    <w:rPr>
      <w:rFonts w:ascii="Wingdings 3" w:hAnsi="Wingdings 3" w:eastAsia="Wingdings 3" w:cs="Times New Roman"/>
      <w:kern w:val="0"/>
      <w:sz w:val="24"/>
      <w:szCs w:val="24"/>
    </w:rPr>
  </w:style>
  <w:style w:type="character" w:customStyle="1" w:styleId="63">
    <w:name w:val="批注文字 Char1"/>
    <w:basedOn w:val="29"/>
    <w:semiHidden/>
    <w:qFormat/>
    <w:uiPriority w:val="99"/>
  </w:style>
  <w:style w:type="character" w:customStyle="1" w:styleId="64">
    <w:name w:val="正文文本 字符"/>
    <w:basedOn w:val="29"/>
    <w:link w:val="8"/>
    <w:qFormat/>
    <w:uiPriority w:val="1"/>
    <w:rPr>
      <w:rFonts w:ascii="宋体" w:hAnsi="宋体" w:eastAsia="宋体" w:cs="Times New Roman"/>
      <w:sz w:val="28"/>
      <w:szCs w:val="28"/>
    </w:rPr>
  </w:style>
  <w:style w:type="character" w:customStyle="1" w:styleId="65">
    <w:name w:val="纯文本 Char1"/>
    <w:basedOn w:val="29"/>
    <w:semiHidden/>
    <w:qFormat/>
    <w:uiPriority w:val="99"/>
    <w:rPr>
      <w:rFonts w:ascii="宋体" w:hAnsi="Courier New" w:eastAsia="宋体" w:cs="Courier New"/>
      <w:szCs w:val="21"/>
    </w:rPr>
  </w:style>
  <w:style w:type="character" w:customStyle="1" w:styleId="66">
    <w:name w:val="正文文本缩进 Char1"/>
    <w:basedOn w:val="29"/>
    <w:semiHidden/>
    <w:qFormat/>
    <w:uiPriority w:val="99"/>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p0"/>
    <w:basedOn w:val="1"/>
    <w:qFormat/>
    <w:uiPriority w:val="0"/>
    <w:pPr>
      <w:widowControl/>
    </w:pPr>
    <w:rPr>
      <w:rFonts w:ascii="Times New Roman" w:hAnsi="Times New Roman" w:eastAsia="宋体" w:cs="Times New Roman"/>
      <w:kern w:val="0"/>
      <w:szCs w:val="21"/>
    </w:rPr>
  </w:style>
  <w:style w:type="paragraph" w:customStyle="1" w:styleId="69">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0">
    <w:name w:val="页脚 Char1"/>
    <w:basedOn w:val="29"/>
    <w:semiHidden/>
    <w:qFormat/>
    <w:uiPriority w:val="99"/>
    <w:rPr>
      <w:sz w:val="18"/>
      <w:szCs w:val="18"/>
    </w:rPr>
  </w:style>
  <w:style w:type="paragraph" w:customStyle="1" w:styleId="71">
    <w:name w:val="TOC 标题2"/>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2">
    <w:name w:val="页眉 Char1"/>
    <w:basedOn w:val="29"/>
    <w:semiHidden/>
    <w:qFormat/>
    <w:uiPriority w:val="99"/>
    <w:rPr>
      <w:sz w:val="18"/>
      <w:szCs w:val="18"/>
    </w:rPr>
  </w:style>
  <w:style w:type="character" w:customStyle="1" w:styleId="73">
    <w:name w:val="批注框文本 Char1"/>
    <w:basedOn w:val="29"/>
    <w:semiHidden/>
    <w:qFormat/>
    <w:uiPriority w:val="99"/>
    <w:rPr>
      <w:sz w:val="18"/>
      <w:szCs w:val="18"/>
    </w:rPr>
  </w:style>
  <w:style w:type="paragraph" w:customStyle="1" w:styleId="74">
    <w:name w:val="正文 A"/>
    <w:qFormat/>
    <w:uiPriority w:val="0"/>
    <w:pPr>
      <w:framePr w:wrap="around" w:vAnchor="margin" w:hAnchor="text" w:y="1"/>
      <w:widowControl w:val="0"/>
      <w:jc w:val="both"/>
    </w:pPr>
    <w:rPr>
      <w:rFonts w:hint="eastAsia" w:ascii="Arial Black" w:hAnsi="Arial Black" w:eastAsia="Arial Black" w:cs="Arial Black"/>
      <w:color w:val="000000"/>
      <w:kern w:val="2"/>
      <w:sz w:val="21"/>
      <w:szCs w:val="21"/>
      <w:lang w:val="en-US" w:eastAsia="zh-CN" w:bidi="ar-SA"/>
    </w:rPr>
  </w:style>
  <w:style w:type="paragraph" w:customStyle="1" w:styleId="75">
    <w:name w:val="列出段落1"/>
    <w:basedOn w:val="1"/>
    <w:qFormat/>
    <w:uiPriority w:val="34"/>
    <w:pPr>
      <w:ind w:firstLine="420" w:firstLineChars="200"/>
    </w:pPr>
    <w:rPr>
      <w:rFonts w:ascii="Times New Roman" w:hAnsi="Times New Roman" w:eastAsia="宋体" w:cs="Times New Roman"/>
      <w:szCs w:val="24"/>
    </w:rPr>
  </w:style>
  <w:style w:type="character" w:customStyle="1" w:styleId="76">
    <w:name w:val="标题 Char1"/>
    <w:basedOn w:val="29"/>
    <w:qFormat/>
    <w:uiPriority w:val="10"/>
    <w:rPr>
      <w:rFonts w:eastAsia="宋体" w:asciiTheme="majorHAnsi" w:hAnsiTheme="majorHAnsi" w:cstheme="majorBidi"/>
      <w:b/>
      <w:bCs/>
      <w:sz w:val="32"/>
      <w:szCs w:val="32"/>
    </w:rPr>
  </w:style>
  <w:style w:type="character" w:customStyle="1" w:styleId="77">
    <w:name w:val="批注主题 字符"/>
    <w:basedOn w:val="63"/>
    <w:link w:val="26"/>
    <w:qFormat/>
    <w:uiPriority w:val="0"/>
    <w:rPr>
      <w:b/>
      <w:bCs/>
      <w:szCs w:val="24"/>
    </w:rPr>
  </w:style>
  <w:style w:type="paragraph" w:customStyle="1" w:styleId="78">
    <w:name w:val="人才培养方案名称"/>
    <w:basedOn w:val="25"/>
    <w:link w:val="79"/>
    <w:qFormat/>
    <w:uiPriority w:val="0"/>
    <w:pPr>
      <w:spacing w:line="360" w:lineRule="auto"/>
    </w:pPr>
  </w:style>
  <w:style w:type="character" w:customStyle="1" w:styleId="79">
    <w:name w:val="人才培养方案名称 Char"/>
    <w:basedOn w:val="58"/>
    <w:link w:val="78"/>
    <w:qFormat/>
    <w:uiPriority w:val="0"/>
    <w:rPr>
      <w:rFonts w:ascii="Cambria" w:hAnsi="Cambria" w:eastAsia="宋体"/>
      <w:sz w:val="32"/>
      <w:szCs w:val="32"/>
    </w:rPr>
  </w:style>
  <w:style w:type="paragraph" w:customStyle="1" w:styleId="80">
    <w:name w:val="一级标题"/>
    <w:basedOn w:val="1"/>
    <w:link w:val="83"/>
    <w:qFormat/>
    <w:uiPriority w:val="0"/>
    <w:pPr>
      <w:snapToGrid w:val="0"/>
      <w:spacing w:line="360" w:lineRule="auto"/>
      <w:jc w:val="left"/>
      <w:outlineLvl w:val="0"/>
    </w:pPr>
    <w:rPr>
      <w:rFonts w:ascii="宋体" w:hAnsi="宋体" w:eastAsia="宋体"/>
      <w:b/>
      <w:sz w:val="24"/>
    </w:rPr>
  </w:style>
  <w:style w:type="character" w:customStyle="1" w:styleId="81">
    <w:name w:val="章节标题 Char"/>
    <w:basedOn w:val="29"/>
    <w:link w:val="35"/>
    <w:qFormat/>
    <w:uiPriority w:val="0"/>
    <w:rPr>
      <w:rFonts w:ascii="宋体" w:hAnsi="宋体" w:eastAsia="宋体" w:cs="宋体"/>
      <w:b/>
      <w:color w:val="000000"/>
      <w:sz w:val="28"/>
      <w:szCs w:val="28"/>
    </w:rPr>
  </w:style>
  <w:style w:type="paragraph" w:customStyle="1" w:styleId="82">
    <w:name w:val="二级标题"/>
    <w:basedOn w:val="1"/>
    <w:link w:val="85"/>
    <w:qFormat/>
    <w:uiPriority w:val="0"/>
    <w:pPr>
      <w:snapToGrid w:val="0"/>
      <w:spacing w:line="360" w:lineRule="auto"/>
      <w:outlineLvl w:val="1"/>
    </w:pPr>
    <w:rPr>
      <w:rFonts w:ascii="宋体" w:hAnsi="宋体" w:eastAsia="宋体"/>
      <w:b/>
      <w:szCs w:val="21"/>
    </w:rPr>
  </w:style>
  <w:style w:type="character" w:customStyle="1" w:styleId="83">
    <w:name w:val="一级标题 Char"/>
    <w:basedOn w:val="29"/>
    <w:link w:val="80"/>
    <w:qFormat/>
    <w:uiPriority w:val="0"/>
    <w:rPr>
      <w:rFonts w:ascii="宋体" w:hAnsi="宋体" w:eastAsia="宋体"/>
      <w:b/>
      <w:sz w:val="24"/>
    </w:rPr>
  </w:style>
  <w:style w:type="paragraph" w:customStyle="1" w:styleId="84">
    <w:name w:val="一级表格标题"/>
    <w:basedOn w:val="80"/>
    <w:link w:val="88"/>
    <w:qFormat/>
    <w:uiPriority w:val="0"/>
    <w:pPr>
      <w:jc w:val="center"/>
      <w:outlineLvl w:val="9"/>
    </w:pPr>
  </w:style>
  <w:style w:type="character" w:customStyle="1" w:styleId="85">
    <w:name w:val="二级标题 Char"/>
    <w:basedOn w:val="29"/>
    <w:link w:val="82"/>
    <w:qFormat/>
    <w:uiPriority w:val="0"/>
    <w:rPr>
      <w:rFonts w:ascii="宋体" w:hAnsi="宋体" w:eastAsia="宋体"/>
      <w:b/>
      <w:szCs w:val="21"/>
    </w:rPr>
  </w:style>
  <w:style w:type="character" w:customStyle="1" w:styleId="86">
    <w:name w:val="无间隔 字符1"/>
    <w:link w:val="87"/>
    <w:qFormat/>
    <w:uiPriority w:val="0"/>
    <w:rPr>
      <w:rFonts w:ascii="Calibri" w:hAnsi="Calibri"/>
      <w:sz w:val="22"/>
    </w:rPr>
  </w:style>
  <w:style w:type="paragraph" w:styleId="87">
    <w:name w:val="No Spacing"/>
    <w:link w:val="86"/>
    <w:qFormat/>
    <w:uiPriority w:val="0"/>
    <w:rPr>
      <w:rFonts w:ascii="Calibri" w:hAnsi="Calibri" w:eastAsiaTheme="minorEastAsia" w:cstheme="minorBidi"/>
      <w:kern w:val="2"/>
      <w:sz w:val="22"/>
      <w:szCs w:val="22"/>
      <w:lang w:val="en-US" w:eastAsia="zh-CN" w:bidi="ar-SA"/>
    </w:rPr>
  </w:style>
  <w:style w:type="character" w:customStyle="1" w:styleId="88">
    <w:name w:val="一级表格标题 Char"/>
    <w:basedOn w:val="83"/>
    <w:link w:val="84"/>
    <w:qFormat/>
    <w:uiPriority w:val="0"/>
    <w:rPr>
      <w:rFonts w:ascii="宋体" w:hAnsi="宋体" w:eastAsia="宋体"/>
      <w:sz w:val="24"/>
    </w:rPr>
  </w:style>
  <w:style w:type="paragraph" w:styleId="89">
    <w:name w:val="List Paragraph"/>
    <w:basedOn w:val="1"/>
    <w:qFormat/>
    <w:uiPriority w:val="34"/>
    <w:pPr>
      <w:ind w:firstLine="420" w:firstLineChars="200"/>
    </w:pPr>
    <w:rPr>
      <w:rFonts w:ascii="Times New Roman" w:hAnsi="Times New Roman" w:eastAsia="宋体" w:cs="Times New Roman"/>
      <w:szCs w:val="24"/>
    </w:rPr>
  </w:style>
  <w:style w:type="paragraph" w:customStyle="1" w:styleId="90">
    <w:name w:val="二级表格标题"/>
    <w:basedOn w:val="82"/>
    <w:link w:val="91"/>
    <w:qFormat/>
    <w:uiPriority w:val="0"/>
    <w:pPr>
      <w:jc w:val="center"/>
    </w:pPr>
  </w:style>
  <w:style w:type="character" w:customStyle="1" w:styleId="91">
    <w:name w:val="二级表格标题 Char"/>
    <w:basedOn w:val="85"/>
    <w:link w:val="90"/>
    <w:qFormat/>
    <w:uiPriority w:val="0"/>
    <w:rPr>
      <w:rFonts w:ascii="宋体" w:hAnsi="宋体" w:eastAsia="宋体"/>
      <w:szCs w:val="21"/>
    </w:rPr>
  </w:style>
  <w:style w:type="paragraph" w:customStyle="1" w:styleId="92">
    <w:name w:val="TOC 标题3"/>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3">
    <w:name w:val="目录123"/>
    <w:basedOn w:val="2"/>
    <w:qFormat/>
    <w:uiPriority w:val="0"/>
    <w:pPr>
      <w:spacing w:line="360" w:lineRule="auto"/>
      <w:jc w:val="center"/>
    </w:pPr>
    <w:rPr>
      <w:rFonts w:ascii="宋体" w:hAnsi="宋体" w:eastAsia="黑体"/>
    </w:rPr>
  </w:style>
  <w:style w:type="paragraph" w:customStyle="1" w:styleId="94">
    <w:name w:val="TOC 标题3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95">
    <w:name w:val="标题 #11"/>
    <w:basedOn w:val="96"/>
    <w:unhideWhenUsed/>
    <w:qFormat/>
    <w:uiPriority w:val="99"/>
    <w:rPr>
      <w:rFonts w:ascii="宋体" w:hAnsi="宋体" w:eastAsia="宋体"/>
      <w:spacing w:val="-10"/>
      <w:sz w:val="30"/>
      <w:shd w:val="clear" w:color="auto" w:fill="FFFFFF"/>
    </w:rPr>
  </w:style>
  <w:style w:type="character" w:customStyle="1" w:styleId="96">
    <w:name w:val="标题 #1_"/>
    <w:basedOn w:val="29"/>
    <w:link w:val="97"/>
    <w:unhideWhenUsed/>
    <w:qFormat/>
    <w:uiPriority w:val="99"/>
    <w:rPr>
      <w:rFonts w:ascii="宋体" w:hAnsi="宋体" w:eastAsia="宋体"/>
      <w:spacing w:val="-10"/>
      <w:sz w:val="30"/>
      <w:shd w:val="clear" w:color="auto" w:fill="FFFFFF"/>
    </w:rPr>
  </w:style>
  <w:style w:type="paragraph" w:customStyle="1" w:styleId="97">
    <w:name w:val="标题 #1"/>
    <w:basedOn w:val="1"/>
    <w:link w:val="96"/>
    <w:unhideWhenUsed/>
    <w:qFormat/>
    <w:uiPriority w:val="99"/>
    <w:pPr>
      <w:shd w:val="clear" w:color="auto" w:fill="FFFFFF"/>
      <w:spacing w:after="1320" w:line="240" w:lineRule="atLeast"/>
      <w:outlineLvl w:val="0"/>
    </w:pPr>
    <w:rPr>
      <w:rFonts w:hint="eastAsia" w:ascii="宋体" w:hAnsi="宋体" w:eastAsia="宋体"/>
      <w:spacing w:val="-10"/>
      <w:sz w:val="30"/>
    </w:rPr>
  </w:style>
  <w:style w:type="paragraph" w:customStyle="1" w:styleId="98">
    <w:name w:val="TOC 标题4"/>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9">
    <w:name w:val="_Style 4"/>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0">
    <w:name w:val="TOC 标题5"/>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1">
    <w:name w:val="样式 目录1 + 居中 首行缩进:  0 字符"/>
    <w:basedOn w:val="102"/>
    <w:qFormat/>
    <w:uiPriority w:val="0"/>
    <w:pPr>
      <w:numPr>
        <w:numId w:val="0"/>
      </w:numPr>
      <w:jc w:val="center"/>
    </w:pPr>
    <w:rPr>
      <w:rFonts w:ascii="Calibri" w:hAnsi="Calibri" w:cs="宋体"/>
      <w:bCs/>
      <w:sz w:val="28"/>
      <w:szCs w:val="20"/>
    </w:rPr>
  </w:style>
  <w:style w:type="paragraph" w:customStyle="1" w:styleId="102">
    <w:name w:val="目录1"/>
    <w:basedOn w:val="1"/>
    <w:next w:val="2"/>
    <w:qFormat/>
    <w:uiPriority w:val="0"/>
    <w:pPr>
      <w:numPr>
        <w:ilvl w:val="0"/>
        <w:numId w:val="1"/>
      </w:numPr>
      <w:snapToGrid w:val="0"/>
      <w:spacing w:line="360" w:lineRule="auto"/>
      <w:ind w:firstLine="482" w:firstLineChars="200"/>
    </w:pPr>
    <w:rPr>
      <w:rFonts w:ascii="宋体" w:hAnsi="宋体" w:eastAsia="宋体" w:cs="Times New Roman"/>
      <w:b/>
      <w:sz w:val="24"/>
      <w:szCs w:val="24"/>
    </w:rPr>
  </w:style>
  <w:style w:type="character" w:customStyle="1" w:styleId="103">
    <w:name w:val="副标题 字符"/>
    <w:basedOn w:val="29"/>
    <w:link w:val="19"/>
    <w:qFormat/>
    <w:uiPriority w:val="11"/>
    <w:rPr>
      <w:rFonts w:eastAsia="宋体" w:asciiTheme="majorHAnsi" w:hAnsiTheme="majorHAnsi" w:cstheme="majorBidi"/>
      <w:b/>
      <w:bCs/>
      <w:kern w:val="28"/>
      <w:sz w:val="32"/>
      <w:szCs w:val="32"/>
    </w:rPr>
  </w:style>
  <w:style w:type="character" w:customStyle="1" w:styleId="104">
    <w:name w:val="Char Char61"/>
    <w:qFormat/>
    <w:uiPriority w:val="0"/>
    <w:rPr>
      <w:rFonts w:ascii="Cambria" w:hAnsi="Cambria" w:eastAsia="宋体"/>
      <w:b/>
      <w:bCs/>
      <w:kern w:val="2"/>
      <w:sz w:val="32"/>
      <w:szCs w:val="32"/>
      <w:lang w:bidi="ar-SA"/>
    </w:rPr>
  </w:style>
  <w:style w:type="paragraph" w:customStyle="1" w:styleId="105">
    <w:name w:val="TOC 标题6"/>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6">
    <w:name w:val="列出段落2"/>
    <w:basedOn w:val="1"/>
    <w:qFormat/>
    <w:uiPriority w:val="34"/>
    <w:pPr>
      <w:ind w:firstLine="420" w:firstLineChars="200"/>
    </w:pPr>
    <w:rPr>
      <w:rFonts w:ascii="Times New Roman" w:hAnsi="Times New Roman" w:eastAsia="宋体" w:cs="Times New Roman"/>
      <w:szCs w:val="24"/>
    </w:rPr>
  </w:style>
  <w:style w:type="character" w:customStyle="1" w:styleId="107">
    <w:name w:val="Char Char62"/>
    <w:qFormat/>
    <w:uiPriority w:val="0"/>
    <w:rPr>
      <w:rFonts w:ascii="Cambria" w:hAnsi="Cambria" w:eastAsia="宋体"/>
      <w:b/>
      <w:bCs/>
      <w:kern w:val="2"/>
      <w:sz w:val="32"/>
      <w:szCs w:val="32"/>
      <w:lang w:bidi="ar-SA"/>
    </w:rPr>
  </w:style>
  <w:style w:type="paragraph" w:customStyle="1" w:styleId="108">
    <w:name w:val="列出段落3"/>
    <w:basedOn w:val="1"/>
    <w:qFormat/>
    <w:uiPriority w:val="34"/>
    <w:pPr>
      <w:ind w:firstLine="420" w:firstLineChars="200"/>
    </w:pPr>
    <w:rPr>
      <w:rFonts w:ascii="Times New Roman" w:hAnsi="Times New Roman" w:eastAsia="宋体" w:cs="Times New Roman"/>
      <w:szCs w:val="24"/>
    </w:rPr>
  </w:style>
  <w:style w:type="paragraph" w:customStyle="1" w:styleId="109">
    <w:name w:val="TOC 标题7"/>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10">
    <w:name w:val="正文文本缩进 字符"/>
    <w:qFormat/>
    <w:uiPriority w:val="0"/>
    <w:rPr>
      <w:rFonts w:eastAsia="宋体"/>
      <w:kern w:val="2"/>
      <w:sz w:val="21"/>
      <w:szCs w:val="24"/>
      <w:lang w:bidi="ar-SA"/>
    </w:rPr>
  </w:style>
  <w:style w:type="character" w:customStyle="1" w:styleId="111">
    <w:name w:val="页眉 字符"/>
    <w:qFormat/>
    <w:uiPriority w:val="0"/>
    <w:rPr>
      <w:rFonts w:eastAsia="宋体"/>
      <w:kern w:val="2"/>
      <w:sz w:val="18"/>
      <w:szCs w:val="18"/>
      <w:lang w:bidi="ar-SA"/>
    </w:rPr>
  </w:style>
  <w:style w:type="character" w:customStyle="1" w:styleId="112">
    <w:name w:val="页脚 字符"/>
    <w:qFormat/>
    <w:uiPriority w:val="99"/>
    <w:rPr>
      <w:rFonts w:eastAsia="宋体"/>
      <w:kern w:val="2"/>
      <w:sz w:val="18"/>
      <w:szCs w:val="18"/>
      <w:lang w:bidi="ar-SA"/>
    </w:rPr>
  </w:style>
  <w:style w:type="character" w:customStyle="1" w:styleId="113">
    <w:name w:val="无间隔 字符"/>
    <w:qFormat/>
    <w:uiPriority w:val="0"/>
    <w:rPr>
      <w:rFonts w:ascii="Calibri" w:hAnsi="Calibri"/>
      <w:sz w:val="22"/>
      <w:szCs w:val="22"/>
      <w:lang w:val="en-US" w:eastAsia="zh-CN" w:bidi="ar-SA"/>
    </w:rPr>
  </w:style>
  <w:style w:type="character" w:customStyle="1" w:styleId="114">
    <w:name w:val="批注框文本 字符"/>
    <w:qFormat/>
    <w:uiPriority w:val="0"/>
    <w:rPr>
      <w:rFonts w:eastAsia="宋体"/>
      <w:kern w:val="2"/>
      <w:sz w:val="18"/>
      <w:szCs w:val="18"/>
      <w:lang w:val="en-US" w:eastAsia="zh-CN" w:bidi="ar-SA"/>
    </w:rPr>
  </w:style>
  <w:style w:type="character" w:customStyle="1" w:styleId="115">
    <w:name w:val="标题 2 字符"/>
    <w:qFormat/>
    <w:uiPriority w:val="0"/>
    <w:rPr>
      <w:rFonts w:ascii="宋体" w:hAnsi="宋体" w:eastAsia="宋体" w:cs="宋体"/>
      <w:b/>
      <w:bCs/>
      <w:sz w:val="36"/>
      <w:szCs w:val="36"/>
      <w:lang w:val="en-US" w:eastAsia="zh-CN" w:bidi="ar-SA"/>
    </w:rPr>
  </w:style>
  <w:style w:type="character" w:customStyle="1" w:styleId="116">
    <w:name w:val="标题 1 字符"/>
    <w:qFormat/>
    <w:uiPriority w:val="0"/>
    <w:rPr>
      <w:rFonts w:eastAsia="宋体"/>
      <w:b/>
      <w:bCs/>
      <w:kern w:val="44"/>
      <w:sz w:val="44"/>
      <w:szCs w:val="44"/>
      <w:lang w:bidi="ar-SA"/>
    </w:rPr>
  </w:style>
  <w:style w:type="character" w:customStyle="1" w:styleId="117">
    <w:name w:val="批注文字 字符"/>
    <w:qFormat/>
    <w:uiPriority w:val="0"/>
    <w:rPr>
      <w:kern w:val="2"/>
      <w:sz w:val="21"/>
      <w:szCs w:val="24"/>
    </w:rPr>
  </w:style>
  <w:style w:type="character" w:customStyle="1" w:styleId="118">
    <w:name w:val="标题 字符"/>
    <w:qFormat/>
    <w:uiPriority w:val="0"/>
    <w:rPr>
      <w:rFonts w:ascii="Cambria" w:hAnsi="Cambria" w:eastAsia="宋体"/>
      <w:b/>
      <w:bCs/>
      <w:kern w:val="2"/>
      <w:sz w:val="32"/>
      <w:szCs w:val="32"/>
      <w:lang w:bidi="ar-SA"/>
    </w:rPr>
  </w:style>
  <w:style w:type="character" w:customStyle="1" w:styleId="119">
    <w:name w:val="纯文本 字符"/>
    <w:qFormat/>
    <w:uiPriority w:val="0"/>
    <w:rPr>
      <w:rFonts w:ascii="宋体" w:hAnsi="Courier New" w:eastAsia="宋体"/>
      <w:kern w:val="2"/>
      <w:sz w:val="21"/>
      <w:szCs w:val="21"/>
      <w:lang w:bidi="ar-SA"/>
    </w:rPr>
  </w:style>
  <w:style w:type="paragraph" w:customStyle="1" w:styleId="120">
    <w:name w:val="TOC 标题8"/>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21">
    <w:name w:val="样式1 字符"/>
    <w:basedOn w:val="81"/>
    <w:link w:val="34"/>
    <w:qFormat/>
    <w:uiPriority w:val="0"/>
    <w:rPr>
      <w:rFonts w:ascii="宋体" w:hAnsi="宋体" w:eastAsia="宋体" w:cs="宋体"/>
      <w:b w:val="0"/>
      <w:color w:val="000000"/>
      <w:sz w:val="28"/>
      <w:szCs w:val="28"/>
    </w:rPr>
  </w:style>
  <w:style w:type="character" w:customStyle="1" w:styleId="122">
    <w:name w:val="无间隔 Char1"/>
    <w:qFormat/>
    <w:uiPriority w:val="0"/>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8722A-06A1-4A04-BDA5-0AE86F7D57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14160</Words>
  <Characters>15647</Characters>
  <Lines>245</Lines>
  <Paragraphs>69</Paragraphs>
  <TotalTime>13</TotalTime>
  <ScaleCrop>false</ScaleCrop>
  <LinksUpToDate>false</LinksUpToDate>
  <CharactersWithSpaces>15992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2022-03-21T07:22:00Z</dcterms:created>
  <dc:creator>pc</dc:creator>
  <cp:lastModifiedBy>贾志国</cp:lastModifiedBy>
  <cp:lastPrinted>2022-04-27T08:54:00Z</cp:lastPrinted>
  <dcterms:modified xsi:type="dcterms:W3CDTF">2022-11-09T00:41:42Z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185C0D230A17459BA6BF6B486572C0E6</vt:lpwstr>
  </property>
</Properties>
</file>